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EE3C9A" w:rsidP="00B455A7" w:rsidRDefault="00EE3C9A" w14:paraId="67D84697" w14:textId="07208792">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p>
    <w:p w:rsidR="00EE3C9A" w:rsidP="00B455A7" w:rsidRDefault="00EE3C9A" w14:paraId="29DD43C0" w14:textId="61AD3514">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p>
    <w:p w:rsidR="00E31BF4" w:rsidP="00B455A7" w:rsidRDefault="00B455A7" w14:paraId="44597BEE" w14:textId="6F18EA31">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r>
        <w:rPr>
          <w:rFonts w:ascii="Century Gothic" w:hAnsi="Century Gothic" w:eastAsia="Times New Roman" w:cs="Times New Roman"/>
          <w:b/>
          <w:bCs/>
          <w:color w:val="000000"/>
          <w:kern w:val="36"/>
          <w:sz w:val="18"/>
          <w:szCs w:val="18"/>
          <w14:ligatures w14:val="none"/>
        </w:rPr>
        <w:t xml:space="preserve">Author: </w:t>
      </w:r>
      <w:r w:rsidR="00C94898">
        <w:rPr>
          <w:rFonts w:ascii="Century Gothic" w:hAnsi="Century Gothic" w:eastAsia="Times New Roman" w:cs="Times New Roman"/>
          <w:b/>
          <w:bCs/>
          <w:color w:val="000000"/>
          <w:kern w:val="36"/>
          <w:sz w:val="18"/>
          <w:szCs w:val="18"/>
          <w14:ligatures w14:val="none"/>
        </w:rPr>
        <w:tab/>
      </w:r>
      <w:r w:rsidR="00C94898">
        <w:rPr>
          <w:rFonts w:ascii="Century Gothic" w:hAnsi="Century Gothic" w:eastAsia="Times New Roman" w:cs="Times New Roman"/>
          <w:b/>
          <w:bCs/>
          <w:color w:val="000000"/>
          <w:kern w:val="36"/>
          <w:sz w:val="18"/>
          <w:szCs w:val="18"/>
          <w14:ligatures w14:val="none"/>
        </w:rPr>
        <w:tab/>
      </w:r>
      <w:r w:rsidR="00C94898">
        <w:rPr>
          <w:rFonts w:ascii="Century Gothic" w:hAnsi="Century Gothic" w:eastAsia="Times New Roman" w:cs="Times New Roman"/>
          <w:b/>
          <w:bCs/>
          <w:color w:val="000000"/>
          <w:kern w:val="36"/>
          <w:sz w:val="18"/>
          <w:szCs w:val="18"/>
          <w14:ligatures w14:val="none"/>
        </w:rPr>
        <w:tab/>
      </w:r>
      <w:r w:rsidR="00DC233B">
        <w:rPr>
          <w:rFonts w:ascii="Century Gothic" w:hAnsi="Century Gothic" w:eastAsia="Times New Roman" w:cs="Times New Roman"/>
          <w:b/>
          <w:bCs/>
          <w:color w:val="000000"/>
          <w:kern w:val="36"/>
          <w:sz w:val="18"/>
          <w:szCs w:val="18"/>
          <w14:ligatures w14:val="none"/>
        </w:rPr>
        <w:t>K</w:t>
      </w:r>
      <w:r w:rsidR="00E31BF4">
        <w:rPr>
          <w:rFonts w:ascii="Century Gothic" w:hAnsi="Century Gothic" w:eastAsia="Times New Roman" w:cs="Times New Roman"/>
          <w:b/>
          <w:bCs/>
          <w:color w:val="000000"/>
          <w:kern w:val="36"/>
          <w:sz w:val="18"/>
          <w:szCs w:val="18"/>
          <w14:ligatures w14:val="none"/>
        </w:rPr>
        <w:t xml:space="preserve">night Castle &amp; King </w:t>
      </w:r>
    </w:p>
    <w:p w:rsidR="00DC233B" w:rsidP="00B455A7" w:rsidRDefault="00E40BFE" w14:paraId="273515C8" w14:textId="56367F02">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r>
        <w:rPr>
          <w:rFonts w:ascii="Century Gothic" w:hAnsi="Century Gothic" w:eastAsia="Times New Roman" w:cs="Times New Roman"/>
          <w:b/>
          <w:bCs/>
          <w:color w:val="000000"/>
          <w:kern w:val="36"/>
          <w:sz w:val="18"/>
          <w:szCs w:val="18"/>
          <w14:ligatures w14:val="none"/>
        </w:rPr>
        <w:t>Composition:</w:t>
      </w:r>
      <w:r w:rsidR="00C94898">
        <w:rPr>
          <w:rFonts w:ascii="Century Gothic" w:hAnsi="Century Gothic" w:eastAsia="Times New Roman" w:cs="Times New Roman"/>
          <w:b/>
          <w:bCs/>
          <w:color w:val="000000"/>
          <w:kern w:val="36"/>
          <w:sz w:val="18"/>
          <w:szCs w:val="18"/>
          <w14:ligatures w14:val="none"/>
        </w:rPr>
        <w:t xml:space="preserve">    </w:t>
      </w:r>
      <w:r>
        <w:rPr>
          <w:rFonts w:ascii="Century Gothic" w:hAnsi="Century Gothic" w:eastAsia="Times New Roman" w:cs="Times New Roman"/>
          <w:b/>
          <w:bCs/>
          <w:color w:val="000000"/>
          <w:kern w:val="36"/>
          <w:sz w:val="18"/>
          <w:szCs w:val="18"/>
          <w14:ligatures w14:val="none"/>
        </w:rPr>
        <w:t xml:space="preserve"> </w:t>
      </w:r>
      <w:r w:rsidR="00C94898">
        <w:rPr>
          <w:rFonts w:ascii="Century Gothic" w:hAnsi="Century Gothic" w:eastAsia="Times New Roman" w:cs="Times New Roman"/>
          <w:b/>
          <w:bCs/>
          <w:color w:val="000000"/>
          <w:kern w:val="36"/>
          <w:sz w:val="18"/>
          <w:szCs w:val="18"/>
          <w14:ligatures w14:val="none"/>
        </w:rPr>
        <w:tab/>
      </w:r>
      <w:r w:rsidR="00C94898">
        <w:rPr>
          <w:rFonts w:ascii="Century Gothic" w:hAnsi="Century Gothic" w:eastAsia="Times New Roman" w:cs="Times New Roman"/>
          <w:b/>
          <w:bCs/>
          <w:color w:val="000000"/>
          <w:kern w:val="36"/>
          <w:sz w:val="18"/>
          <w:szCs w:val="18"/>
          <w14:ligatures w14:val="none"/>
        </w:rPr>
        <w:tab/>
      </w:r>
      <w:r w:rsidRPr="008356F2" w:rsidR="008356F2">
        <w:rPr>
          <w:rFonts w:ascii="Century Gothic" w:hAnsi="Century Gothic" w:eastAsia="Times New Roman" w:cs="Times New Roman"/>
          <w:b/>
          <w:bCs/>
          <w:color w:val="000000"/>
          <w:kern w:val="36"/>
          <w:sz w:val="18"/>
          <w:szCs w:val="18"/>
          <w14:ligatures w14:val="none"/>
        </w:rPr>
        <w:t>White Paper:</w:t>
      </w:r>
    </w:p>
    <w:p w:rsidR="00B455A7" w:rsidP="00B455A7" w:rsidRDefault="00E40BFE" w14:paraId="3359E316" w14:textId="32FA321E">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r>
        <w:rPr>
          <w:rFonts w:ascii="Century Gothic" w:hAnsi="Century Gothic" w:eastAsia="Times New Roman" w:cs="Times New Roman"/>
          <w:b/>
          <w:bCs/>
          <w:color w:val="000000"/>
          <w:kern w:val="36"/>
          <w:sz w:val="18"/>
          <w:szCs w:val="18"/>
          <w14:ligatures w14:val="none"/>
        </w:rPr>
        <w:t xml:space="preserve">Thematic area: </w:t>
      </w:r>
      <w:r w:rsidR="005D20B3">
        <w:rPr>
          <w:rFonts w:ascii="Century Gothic" w:hAnsi="Century Gothic" w:eastAsia="Times New Roman" w:cs="Times New Roman"/>
          <w:b/>
          <w:bCs/>
          <w:color w:val="000000"/>
          <w:kern w:val="36"/>
          <w:sz w:val="18"/>
          <w:szCs w:val="18"/>
          <w14:ligatures w14:val="none"/>
        </w:rPr>
        <w:tab/>
      </w:r>
      <w:r w:rsidR="00C94898">
        <w:rPr>
          <w:rFonts w:ascii="Century Gothic" w:hAnsi="Century Gothic" w:eastAsia="Times New Roman" w:cs="Times New Roman"/>
          <w:b/>
          <w:bCs/>
          <w:color w:val="000000"/>
          <w:kern w:val="36"/>
          <w:sz w:val="18"/>
          <w:szCs w:val="18"/>
          <w14:ligatures w14:val="none"/>
        </w:rPr>
        <w:tab/>
      </w:r>
      <w:r w:rsidRPr="008356F2" w:rsidR="008356F2">
        <w:rPr>
          <w:rFonts w:ascii="Century Gothic" w:hAnsi="Century Gothic" w:eastAsia="Times New Roman" w:cs="Times New Roman"/>
          <w:b/>
          <w:bCs/>
          <w:color w:val="000000"/>
          <w:kern w:val="36"/>
          <w:sz w:val="18"/>
          <w:szCs w:val="18"/>
          <w14:ligatures w14:val="none"/>
        </w:rPr>
        <w:t>Implementation of a Reverse Vending Smart Bin</w:t>
      </w:r>
      <w:r w:rsidR="00E35DB0">
        <w:rPr>
          <w:rFonts w:ascii="Century Gothic" w:hAnsi="Century Gothic" w:eastAsia="Times New Roman" w:cs="Times New Roman"/>
          <w:b/>
          <w:bCs/>
          <w:color w:val="000000"/>
          <w:kern w:val="36"/>
          <w:sz w:val="18"/>
          <w:szCs w:val="18"/>
          <w14:ligatures w14:val="none"/>
        </w:rPr>
        <w:t xml:space="preserve"> te</w:t>
      </w:r>
      <w:r w:rsidR="00B455A7">
        <w:rPr>
          <w:rFonts w:ascii="Century Gothic" w:hAnsi="Century Gothic" w:eastAsia="Times New Roman" w:cs="Times New Roman"/>
          <w:b/>
          <w:bCs/>
          <w:color w:val="000000"/>
          <w:kern w:val="36"/>
          <w:sz w:val="18"/>
          <w:szCs w:val="18"/>
          <w14:ligatures w14:val="none"/>
        </w:rPr>
        <w:t>chnology</w:t>
      </w:r>
    </w:p>
    <w:p w:rsidR="008356F2" w:rsidP="00B455A7" w:rsidRDefault="008356F2" w14:paraId="1C7FFAAE" w14:textId="0A918FFF">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r w:rsidRPr="008356F2">
        <w:rPr>
          <w:rFonts w:ascii="Century Gothic" w:hAnsi="Century Gothic" w:eastAsia="Times New Roman" w:cs="Times New Roman"/>
          <w:b/>
          <w:bCs/>
          <w:color w:val="000000"/>
          <w:kern w:val="36"/>
          <w:sz w:val="18"/>
          <w:szCs w:val="18"/>
          <w14:ligatures w14:val="none"/>
        </w:rPr>
        <w:t xml:space="preserve"> </w:t>
      </w:r>
      <w:r w:rsidR="00E40BFE">
        <w:rPr>
          <w:rFonts w:ascii="Century Gothic" w:hAnsi="Century Gothic" w:eastAsia="Times New Roman" w:cs="Times New Roman"/>
          <w:b/>
          <w:bCs/>
          <w:color w:val="000000"/>
          <w:kern w:val="36"/>
          <w:sz w:val="18"/>
          <w:szCs w:val="18"/>
          <w14:ligatures w14:val="none"/>
        </w:rPr>
        <w:t xml:space="preserve">Use </w:t>
      </w:r>
      <w:r w:rsidR="00C94898">
        <w:rPr>
          <w:rFonts w:ascii="Century Gothic" w:hAnsi="Century Gothic" w:eastAsia="Times New Roman" w:cs="Times New Roman"/>
          <w:b/>
          <w:bCs/>
          <w:color w:val="000000"/>
          <w:kern w:val="36"/>
          <w:sz w:val="18"/>
          <w:szCs w:val="18"/>
          <w14:ligatures w14:val="none"/>
        </w:rPr>
        <w:t>Case:</w:t>
      </w:r>
      <w:r w:rsidRPr="008356F2">
        <w:rPr>
          <w:rFonts w:ascii="Century Gothic" w:hAnsi="Century Gothic" w:eastAsia="Times New Roman" w:cs="Times New Roman"/>
          <w:b/>
          <w:bCs/>
          <w:color w:val="000000"/>
          <w:kern w:val="36"/>
          <w:sz w:val="18"/>
          <w:szCs w:val="18"/>
          <w14:ligatures w14:val="none"/>
        </w:rPr>
        <w:t xml:space="preserve"> </w:t>
      </w:r>
      <w:r w:rsidR="005D20B3">
        <w:rPr>
          <w:rFonts w:ascii="Century Gothic" w:hAnsi="Century Gothic" w:eastAsia="Times New Roman" w:cs="Times New Roman"/>
          <w:b/>
          <w:bCs/>
          <w:color w:val="000000"/>
          <w:kern w:val="36"/>
          <w:sz w:val="18"/>
          <w:szCs w:val="18"/>
          <w14:ligatures w14:val="none"/>
        </w:rPr>
        <w:tab/>
      </w:r>
      <w:r w:rsidR="005D20B3">
        <w:rPr>
          <w:rFonts w:ascii="Century Gothic" w:hAnsi="Century Gothic" w:eastAsia="Times New Roman" w:cs="Times New Roman"/>
          <w:b/>
          <w:bCs/>
          <w:color w:val="000000"/>
          <w:kern w:val="36"/>
          <w:sz w:val="18"/>
          <w:szCs w:val="18"/>
          <w14:ligatures w14:val="none"/>
        </w:rPr>
        <w:tab/>
      </w:r>
      <w:r w:rsidRPr="008356F2">
        <w:rPr>
          <w:rFonts w:ascii="Century Gothic" w:hAnsi="Century Gothic" w:eastAsia="Times New Roman" w:cs="Times New Roman"/>
          <w:b/>
          <w:bCs/>
          <w:color w:val="000000"/>
          <w:kern w:val="36"/>
          <w:sz w:val="18"/>
          <w:szCs w:val="18"/>
          <w14:ligatures w14:val="none"/>
        </w:rPr>
        <w:t>Collection of Packaging Bags by a Bread Company</w:t>
      </w:r>
    </w:p>
    <w:p w:rsidRPr="008356F2" w:rsidR="005D20B3" w:rsidP="00B455A7" w:rsidRDefault="005D20B3" w14:paraId="0087236F" w14:textId="2821C731">
      <w:pPr>
        <w:spacing w:before="100" w:beforeAutospacing="1" w:after="100" w:afterAutospacing="1" w:line="240" w:lineRule="auto"/>
        <w:outlineLvl w:val="0"/>
        <w:rPr>
          <w:rFonts w:ascii="Century Gothic" w:hAnsi="Century Gothic" w:eastAsia="Times New Roman" w:cs="Times New Roman"/>
          <w:b/>
          <w:bCs/>
          <w:color w:val="000000"/>
          <w:kern w:val="36"/>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32E3584D" wp14:editId="56BF4FF9">
                <wp:extent cx="5731510" cy="1270"/>
                <wp:effectExtent l="0" t="31750" r="0" b="36830"/>
                <wp:docPr id="795113142"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9"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0474796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8356F2" w:rsidR="008356F2" w:rsidP="008356F2" w:rsidRDefault="008356F2" w14:paraId="74C0ACFD" w14:textId="77777777">
      <w:pPr>
        <w:spacing w:before="100" w:beforeAutospacing="1" w:after="100" w:afterAutospacing="1" w:line="240" w:lineRule="auto"/>
        <w:outlineLvl w:val="1"/>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Executive Summary</w:t>
      </w:r>
    </w:p>
    <w:p w:rsidRPr="008356F2" w:rsidR="008356F2" w:rsidP="00FC314D" w:rsidRDefault="008356F2" w14:paraId="49A07781" w14:textId="0BB98F6B">
      <w:pPr>
        <w:spacing w:before="100" w:beforeAutospacing="1" w:after="100" w:afterAutospacing="1" w:line="240" w:lineRule="auto"/>
        <w:rPr>
          <w:rFonts w:ascii="Century Gothic" w:hAnsi="Century Gothic" w:cs="Times New Roman"/>
          <w:color w:val="000000"/>
          <w:kern w:val="0"/>
          <w:sz w:val="18"/>
          <w:szCs w:val="18"/>
          <w14:ligatures w14:val="none"/>
        </w:rPr>
      </w:pPr>
      <w:r w:rsidRPr="008356F2">
        <w:rPr>
          <w:rFonts w:ascii="Century Gothic" w:hAnsi="Century Gothic" w:cs="Times New Roman"/>
          <w:color w:val="000000"/>
          <w:kern w:val="0"/>
          <w:sz w:val="18"/>
          <w:szCs w:val="18"/>
          <w14:ligatures w14:val="none"/>
        </w:rPr>
        <w:t>The overarching goal of this project is to introduce a sustainable waste management solution by implementing a Reverse Vending Smart Bin (RVSB) system. This will be designed specifically for the collection of packaging bags used by a leading bread company. The innovative feature of this system is the provision of coupons in exchange for returned bags. These coupons can subsequently be used to offset school fees, thereby integrating environmental stewardship with educational support.</w:t>
      </w:r>
    </w:p>
    <w:p w:rsidRPr="00663A04" w:rsidR="008356F2" w:rsidP="00FC314D" w:rsidRDefault="00552520" w14:paraId="2C157DDC" w14:textId="1B8BEDE6">
      <w:pPr>
        <w:pStyle w:val="ListParagraph"/>
        <w:numPr>
          <w:ilvl w:val="0"/>
          <w:numId w:val="24"/>
        </w:numPr>
        <w:spacing w:before="100" w:beforeAutospacing="1" w:after="100" w:afterAutospacing="1" w:line="240" w:lineRule="auto"/>
        <w:outlineLvl w:val="1"/>
        <w:rPr>
          <w:rFonts w:ascii="Century Gothic" w:hAnsi="Century Gothic" w:eastAsia="Times New Roman" w:cs="Times New Roman"/>
          <w:b/>
          <w:bCs/>
          <w:color w:val="000000"/>
          <w:kern w:val="0"/>
          <w:sz w:val="22"/>
          <w:szCs w:val="22"/>
          <w14:ligatures w14:val="none"/>
        </w:rPr>
      </w:pPr>
      <w:r w:rsidRPr="00663A04">
        <w:rPr>
          <w:rFonts w:ascii="Century Gothic" w:hAnsi="Century Gothic" w:eastAsia="Times New Roman" w:cs="Times New Roman"/>
          <w:b/>
          <w:bCs/>
          <w:color w:val="000000"/>
          <w:kern w:val="0"/>
          <w:sz w:val="22"/>
          <w:szCs w:val="22"/>
          <w14:ligatures w14:val="none"/>
        </w:rPr>
        <w:t>INTRODUCTION</w:t>
      </w:r>
    </w:p>
    <w:p w:rsidRPr="00663A04" w:rsidR="00663A04" w:rsidP="00663A04" w:rsidRDefault="00663A04" w14:paraId="4EF8A2AF" w14:textId="12013525">
      <w:pPr>
        <w:pStyle w:val="ListParagraph"/>
        <w:spacing w:before="100" w:beforeAutospacing="1" w:after="100" w:afterAutospacing="1" w:line="240" w:lineRule="auto"/>
        <w:outlineLvl w:val="1"/>
        <w:rPr>
          <w:rFonts w:ascii="Century Gothic" w:hAnsi="Century Gothic" w:eastAsia="Times New Roman" w:cs="Times New Roman"/>
          <w:b/>
          <w:bCs/>
          <w:color w:val="000000"/>
          <w:kern w:val="0"/>
          <w:sz w:val="22"/>
          <w:szCs w:val="22"/>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53609319" wp14:editId="3AF80AF0">
                <wp:extent cx="5274310" cy="1270"/>
                <wp:effectExtent l="0" t="31750" r="0" b="36830"/>
                <wp:docPr id="455801677"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9" style="width:415.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538E1EC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">
                <w10:anchorlock/>
              </v:rect>
            </w:pict>
          </mc:Fallback>
        </mc:AlternateContent>
      </w:r>
    </w:p>
    <w:p w:rsidR="0003340B" w:rsidP="0003340B" w:rsidRDefault="008356F2" w14:paraId="37170E97" w14:textId="77777777">
      <w:pPr>
        <w:spacing w:before="100" w:beforeAutospacing="1" w:after="100" w:afterAutospacing="1" w:line="240" w:lineRule="auto"/>
        <w:outlineLvl w:val="2"/>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1.1 Background</w:t>
      </w:r>
    </w:p>
    <w:p w:rsidRPr="0003340B" w:rsidR="0012754C" w:rsidP="0003340B" w:rsidRDefault="0012754C" w14:paraId="79A72E45" w14:textId="04511ECB">
      <w:pPr>
        <w:spacing w:before="100" w:beforeAutospacing="1" w:after="100" w:afterAutospacing="1" w:line="240" w:lineRule="auto"/>
        <w:outlineLvl w:val="2"/>
        <w:rPr>
          <w:rFonts w:ascii="Century Gothic" w:hAnsi="Century Gothic" w:eastAsia="Times New Roman" w:cs="Times New Roman"/>
          <w:b/>
          <w:bCs/>
          <w:color w:val="000000"/>
          <w:kern w:val="0"/>
          <w:sz w:val="18"/>
          <w:szCs w:val="18"/>
          <w14:ligatures w14:val="none"/>
        </w:rPr>
      </w:pPr>
      <w:r w:rsidRPr="0003340B">
        <w:rPr>
          <w:rFonts w:ascii="Century Gothic" w:hAnsi="Century Gothic"/>
          <w:color w:val="000000"/>
          <w:sz w:val="18"/>
          <w:szCs w:val="18"/>
        </w:rPr>
        <w:t>As the 21st century progresses, the global community faces unprecedented environmental challenges that demand immediate and comprehensive action. Among these challenges is the mounting issue of waste management and resource consumption, which poses significant threats to ecological health, economic stability, and social equity. In response, the United Nations introduced the Sustainable Development Goals (SDGs) in 2015, setting a universal agenda of 17 goals to be achieved by 2030. Recycling, a critical component of sustainable resource management, is intricately linked to several of these goals, most notably Goal 12: Responsible Consumption and Production.</w:t>
      </w:r>
    </w:p>
    <w:p w:rsidRPr="00837BA0" w:rsidR="0012754C" w:rsidP="00FC0D51" w:rsidRDefault="0012754C" w14:paraId="1DA70567" w14:textId="77777777">
      <w:pPr>
        <w:pStyle w:val="NormalWeb"/>
        <w:numPr>
          <w:ilvl w:val="0"/>
          <w:numId w:val="11"/>
        </w:numPr>
        <w:divId w:val="89006227"/>
        <w:rPr>
          <w:rFonts w:ascii="Century Gothic" w:hAnsi="Century Gothic"/>
          <w:color w:val="000000"/>
          <w:sz w:val="18"/>
          <w:szCs w:val="18"/>
        </w:rPr>
      </w:pPr>
      <w:r w:rsidRPr="00837BA0">
        <w:rPr>
          <w:rStyle w:val="Strong"/>
          <w:rFonts w:ascii="Century Gothic" w:hAnsi="Century Gothic"/>
          <w:color w:val="000000"/>
          <w:sz w:val="18"/>
          <w:szCs w:val="18"/>
        </w:rPr>
        <w:t>Historical Context and Evolution of Recycling</w:t>
      </w:r>
    </w:p>
    <w:p w:rsidRPr="0003340B" w:rsidR="0012754C" w:rsidRDefault="0012754C" w14:paraId="2B870F52" w14:textId="77777777">
      <w:pPr>
        <w:pStyle w:val="NormalWeb"/>
        <w:divId w:val="89006227"/>
        <w:rPr>
          <w:rFonts w:ascii="Century Gothic" w:hAnsi="Century Gothic"/>
          <w:color w:val="000000"/>
          <w:sz w:val="18"/>
          <w:szCs w:val="18"/>
        </w:rPr>
      </w:pPr>
      <w:r w:rsidRPr="0003340B">
        <w:rPr>
          <w:rFonts w:ascii="Century Gothic" w:hAnsi="Century Gothic"/>
          <w:color w:val="000000"/>
          <w:sz w:val="18"/>
          <w:szCs w:val="18"/>
        </w:rPr>
        <w:t>The practice of recycling is not a modern innovation; it has deep historical roots. Evidence suggests that ancient civilizations, including the Romans, engaged in recycling practices. They repurposed materials such as glass and metal due to the scarcity of resources and the labor-intensive nature of producing virgin materials. However, the concept of organized recycling initiatives took clear shape in the 20th century, largely driven by industrialization, economic necessity during wartime, and increasing awareness of environmental issues.</w:t>
      </w:r>
    </w:p>
    <w:p w:rsidRPr="0003340B" w:rsidR="0012754C" w:rsidRDefault="0012754C" w14:paraId="77637A87" w14:textId="77777777">
      <w:pPr>
        <w:pStyle w:val="NormalWeb"/>
        <w:divId w:val="89006227"/>
        <w:rPr>
          <w:rFonts w:ascii="Century Gothic" w:hAnsi="Century Gothic"/>
          <w:color w:val="000000"/>
          <w:sz w:val="18"/>
          <w:szCs w:val="18"/>
        </w:rPr>
      </w:pPr>
      <w:r w:rsidRPr="0003340B">
        <w:rPr>
          <w:rFonts w:ascii="Century Gothic" w:hAnsi="Century Gothic"/>
          <w:color w:val="000000"/>
          <w:sz w:val="18"/>
          <w:szCs w:val="18"/>
        </w:rPr>
        <w:t>The modern recycling movement gained momentum in the 1970s, spurred by the environmental movement and public concern over issues such as the energy crisis and pollution. The introduction of the first Earth Day in 1970 marked a significant turning point, encouraging government action and public participation in recycling efforts. By the end of the 20th century, recycling had become a key component of environmental policies worldwide, driven by the need to reduce landfill use, conserve natural resources, and mitigate pollution.</w:t>
      </w:r>
    </w:p>
    <w:p w:rsidRPr="00510F2A" w:rsidR="0012754C" w:rsidP="00E73891" w:rsidRDefault="0012754C" w14:paraId="3E6080A8" w14:textId="3EA21B79">
      <w:pPr>
        <w:pStyle w:val="NormalWeb"/>
        <w:numPr>
          <w:ilvl w:val="0"/>
          <w:numId w:val="11"/>
        </w:numPr>
        <w:divId w:val="89006227"/>
        <w:rPr>
          <w:rFonts w:ascii="Century Gothic" w:hAnsi="Century Gothic"/>
          <w:color w:val="000000"/>
          <w:sz w:val="18"/>
          <w:szCs w:val="18"/>
        </w:rPr>
      </w:pPr>
      <w:r w:rsidRPr="00510F2A">
        <w:rPr>
          <w:rStyle w:val="Strong"/>
          <w:rFonts w:ascii="Century Gothic" w:hAnsi="Century Gothic"/>
          <w:color w:val="000000"/>
          <w:sz w:val="18"/>
          <w:szCs w:val="18"/>
        </w:rPr>
        <w:t>Recycling and the Sustainable Development Goals</w:t>
      </w:r>
    </w:p>
    <w:p w:rsidRPr="0003340B" w:rsidR="0012754C" w:rsidRDefault="0012754C" w14:paraId="56B95894" w14:textId="77D47C2C">
      <w:pPr>
        <w:pStyle w:val="NormalWeb"/>
        <w:divId w:val="89006227"/>
        <w:rPr>
          <w:rFonts w:ascii="Century Gothic" w:hAnsi="Century Gothic"/>
          <w:color w:val="000000"/>
          <w:sz w:val="18"/>
          <w:szCs w:val="18"/>
        </w:rPr>
      </w:pPr>
      <w:r w:rsidRPr="0003340B">
        <w:rPr>
          <w:rFonts w:ascii="Century Gothic" w:hAnsi="Century Gothic"/>
          <w:color w:val="000000"/>
          <w:sz w:val="18"/>
          <w:szCs w:val="18"/>
        </w:rPr>
        <w:t xml:space="preserve">With the adoption of the SDGs, recycling emerged as a pivotal strategy to achieve multiple interconnected objectives. Goal 12, which emphasizes sustainable consumption and production patterns, directly incorporates recycling as a means to “substantially reduce waste generation through prevention, reduction, recycling and reuse” by 2030. The appeal of recycling lies in its potential to conserve natural resources, reduce greenhouse gas emissions, and promote economic opportunities </w:t>
      </w:r>
      <w:r w:rsidRPr="0003340B">
        <w:rPr>
          <w:rFonts w:ascii="Century Gothic" w:hAnsi="Century Gothic"/>
          <w:color w:val="000000"/>
          <w:sz w:val="18"/>
          <w:szCs w:val="18"/>
        </w:rPr>
        <w:lastRenderedPageBreak/>
        <w:t>through the creation of green jobs.</w:t>
      </w:r>
      <w:r w:rsidR="00CA122C">
        <w:rPr>
          <w:rFonts w:ascii="Century Gothic" w:hAnsi="Century Gothic"/>
          <w:color w:val="000000"/>
          <w:sz w:val="18"/>
          <w:szCs w:val="18"/>
        </w:rPr>
        <w:t xml:space="preserve"> </w:t>
      </w:r>
      <w:r w:rsidRPr="0003340B">
        <w:rPr>
          <w:rFonts w:ascii="Century Gothic" w:hAnsi="Century Gothic"/>
          <w:color w:val="000000"/>
          <w:sz w:val="18"/>
          <w:szCs w:val="18"/>
        </w:rPr>
        <w:t>Recycling supports other SDGs as well, illustrating the interconnected nature of these global goals. For example, it aids in combating climate change (Goal 13) by reducing the need for energy-intensive production processes and minimizing waste in landfills, which are significant sources of methane emissions. Furthermore, effective recycling systems can help to protect life on land (Goal 15) and underwater (Goal 14) by reducing pollution and conserving ecosystems upon which countless species depend.</w:t>
      </w:r>
    </w:p>
    <w:p w:rsidRPr="009C12C1" w:rsidR="0012754C" w:rsidP="009C12C1" w:rsidRDefault="0012754C" w14:paraId="1F87FDA9" w14:textId="607B0F10">
      <w:pPr>
        <w:pStyle w:val="NormalWeb"/>
        <w:numPr>
          <w:ilvl w:val="0"/>
          <w:numId w:val="11"/>
        </w:numPr>
        <w:divId w:val="89006227"/>
        <w:rPr>
          <w:rFonts w:ascii="Century Gothic" w:hAnsi="Century Gothic"/>
          <w:color w:val="000000"/>
          <w:sz w:val="18"/>
          <w:szCs w:val="18"/>
        </w:rPr>
      </w:pPr>
      <w:r w:rsidRPr="009C12C1">
        <w:rPr>
          <w:rStyle w:val="Strong"/>
          <w:rFonts w:ascii="Century Gothic" w:hAnsi="Century Gothic"/>
          <w:color w:val="000000"/>
          <w:sz w:val="18"/>
          <w:szCs w:val="18"/>
        </w:rPr>
        <w:t>Challenges and Innovations in Recycling</w:t>
      </w:r>
    </w:p>
    <w:p w:rsidR="0012754C" w:rsidRDefault="0012754C" w14:paraId="07CFEB6B" w14:textId="430E52C0">
      <w:pPr>
        <w:pStyle w:val="NormalWeb"/>
        <w:divId w:val="89006227"/>
        <w:rPr>
          <w:rFonts w:ascii="Century Gothic" w:hAnsi="Century Gothic"/>
          <w:color w:val="000000"/>
          <w:sz w:val="18"/>
          <w:szCs w:val="18"/>
        </w:rPr>
      </w:pPr>
      <w:r w:rsidRPr="0003340B">
        <w:rPr>
          <w:rFonts w:ascii="Century Gothic" w:hAnsi="Century Gothic"/>
          <w:color w:val="000000"/>
          <w:sz w:val="18"/>
          <w:szCs w:val="18"/>
        </w:rPr>
        <w:t>Despite the well-documented benefits of recycling as an SDG initiative, several challenges hinder its global implementation. These include inconsistent recycling infrastructure, market volatility for recycled materials, and insufficient public awareness and participation. Additionally, the growing complexity of materials used in products, such as multi-layered composites in packaging, poses significant challenges for recycling processes.</w:t>
      </w:r>
      <w:r w:rsidR="00781B23">
        <w:rPr>
          <w:rFonts w:ascii="Century Gothic" w:hAnsi="Century Gothic"/>
          <w:color w:val="000000"/>
          <w:sz w:val="18"/>
          <w:szCs w:val="18"/>
        </w:rPr>
        <w:t xml:space="preserve"> </w:t>
      </w:r>
      <w:r w:rsidRPr="0003340B">
        <w:rPr>
          <w:rFonts w:ascii="Century Gothic" w:hAnsi="Century Gothic"/>
          <w:color w:val="000000"/>
          <w:sz w:val="18"/>
          <w:szCs w:val="18"/>
        </w:rPr>
        <w:t>Innovations and strategies are being developed to overcome these obstacles, ensuring recycling remains a viable tool in achieving the SDGs. Advances in technology, such as the development of more efficient sorting and processing systems, are making recycling more economically viable. Moreover, the circular economy model, which emphasizes closed-loop systems where waste is minimized and materials are continuously reused, represents a transformative shift in how societies manage resources.</w:t>
      </w:r>
    </w:p>
    <w:p w:rsidRPr="0003340B" w:rsidR="00EA6DEE" w:rsidRDefault="00EA6DEE" w14:paraId="048A78EB" w14:textId="77777777">
      <w:pPr>
        <w:pStyle w:val="NormalWeb"/>
        <w:divId w:val="89006227"/>
        <w:rPr>
          <w:rFonts w:ascii="Century Gothic" w:hAnsi="Century Gothic"/>
          <w:color w:val="000000"/>
          <w:sz w:val="18"/>
          <w:szCs w:val="18"/>
        </w:rPr>
      </w:pPr>
    </w:p>
    <w:p w:rsidRPr="00552520" w:rsidR="008356F2" w:rsidP="00FC314D" w:rsidRDefault="008356F2" w14:paraId="73B932A8" w14:textId="512F3706">
      <w:pPr>
        <w:spacing w:before="100" w:beforeAutospacing="1" w:after="100" w:afterAutospacing="1" w:line="240" w:lineRule="auto"/>
        <w:outlineLvl w:val="2"/>
        <w:rPr>
          <w:rFonts w:ascii="Century Gothic" w:hAnsi="Century Gothic" w:eastAsia="Times New Roman" w:cs="Times New Roman"/>
          <w:b/>
          <w:bCs/>
          <w:color w:val="000000"/>
          <w:kern w:val="0"/>
          <w:sz w:val="22"/>
          <w:szCs w:val="22"/>
          <w14:ligatures w14:val="none"/>
        </w:rPr>
      </w:pPr>
      <w:r w:rsidRPr="008356F2">
        <w:rPr>
          <w:rFonts w:ascii="Century Gothic" w:hAnsi="Century Gothic" w:eastAsia="Times New Roman" w:cs="Times New Roman"/>
          <w:b/>
          <w:bCs/>
          <w:color w:val="000000"/>
          <w:kern w:val="0"/>
          <w:sz w:val="22"/>
          <w:szCs w:val="22"/>
          <w14:ligatures w14:val="none"/>
        </w:rPr>
        <w:t>2</w:t>
      </w:r>
      <w:r w:rsidR="0071630E">
        <w:rPr>
          <w:rFonts w:ascii="Century Gothic" w:hAnsi="Century Gothic" w:eastAsia="Times New Roman" w:cs="Times New Roman"/>
          <w:b/>
          <w:bCs/>
          <w:color w:val="000000"/>
          <w:kern w:val="0"/>
          <w:sz w:val="22"/>
          <w:szCs w:val="22"/>
          <w14:ligatures w14:val="none"/>
        </w:rPr>
        <w:t>.</w:t>
      </w:r>
      <w:r w:rsidRPr="00552520" w:rsidR="00862A39">
        <w:rPr>
          <w:rFonts w:ascii="Century Gothic" w:hAnsi="Century Gothic" w:eastAsia="Times New Roman" w:cs="Times New Roman"/>
          <w:b/>
          <w:bCs/>
          <w:color w:val="000000"/>
          <w:kern w:val="0"/>
          <w:sz w:val="22"/>
          <w:szCs w:val="22"/>
          <w14:ligatures w14:val="none"/>
        </w:rPr>
        <w:t xml:space="preserve"> OBJECTIVE</w:t>
      </w:r>
    </w:p>
    <w:p w:rsidRPr="008356F2" w:rsidR="00E041D6" w:rsidP="008356F2" w:rsidRDefault="002A15B9" w14:paraId="49A66FD2" w14:textId="01DEEEEF">
      <w:pPr>
        <w:spacing w:before="100" w:beforeAutospacing="1" w:after="100" w:afterAutospacing="1" w:line="240" w:lineRule="auto"/>
        <w:outlineLvl w:val="2"/>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6080FD38" wp14:editId="4F7F489A">
                <wp:extent cx="5731510" cy="1270"/>
                <wp:effectExtent l="0" t="31750" r="0" b="36830"/>
                <wp:docPr id="649287790"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8"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1898CCC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8356F2" w:rsidR="008356F2" w:rsidP="008356F2" w:rsidRDefault="008356F2" w14:paraId="22D954EA" w14:textId="77777777">
      <w:pPr>
        <w:spacing w:before="100" w:beforeAutospacing="1" w:after="100" w:afterAutospacing="1" w:line="240" w:lineRule="auto"/>
        <w:rPr>
          <w:rFonts w:ascii="Century Gothic" w:hAnsi="Century Gothic" w:cs="Times New Roman"/>
          <w:color w:val="000000"/>
          <w:kern w:val="0"/>
          <w:sz w:val="18"/>
          <w:szCs w:val="18"/>
          <w14:ligatures w14:val="none"/>
        </w:rPr>
      </w:pPr>
      <w:r w:rsidRPr="008356F2">
        <w:rPr>
          <w:rFonts w:ascii="Century Gothic" w:hAnsi="Century Gothic" w:cs="Times New Roman"/>
          <w:color w:val="000000"/>
          <w:kern w:val="0"/>
          <w:sz w:val="18"/>
          <w:szCs w:val="18"/>
          <w14:ligatures w14:val="none"/>
        </w:rPr>
        <w:t>This paper proposes the deployment of Reverse Vending Smart Bins to encourage recycling of bread packaging. The initiative aims to marry environmental responsibility with social engagement by providing educational benefits through school fee coupons.</w:t>
      </w:r>
    </w:p>
    <w:p w:rsidRPr="008356F2" w:rsidR="008356F2" w:rsidP="008356F2" w:rsidRDefault="008356F2" w14:paraId="069B6569" w14:textId="77777777">
      <w:pPr>
        <w:spacing w:before="100" w:beforeAutospacing="1" w:after="100" w:afterAutospacing="1" w:line="240" w:lineRule="auto"/>
        <w:outlineLvl w:val="2"/>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1.3 Scope</w:t>
      </w:r>
    </w:p>
    <w:p w:rsidRPr="008356F2" w:rsidR="008356F2" w:rsidP="008356F2" w:rsidRDefault="008356F2" w14:paraId="128E1CCD" w14:textId="77777777">
      <w:pPr>
        <w:numPr>
          <w:ilvl w:val="0"/>
          <w:numId w:val="1"/>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color w:val="000000"/>
          <w:kern w:val="0"/>
          <w:sz w:val="18"/>
          <w:szCs w:val="18"/>
          <w14:ligatures w14:val="none"/>
        </w:rPr>
        <w:t>Designing and implementing the RVSB system</w:t>
      </w:r>
    </w:p>
    <w:p w:rsidR="008356F2" w:rsidP="008356F2" w:rsidRDefault="008356F2" w14:paraId="70F3AC07" w14:textId="4A0C5739">
      <w:pPr>
        <w:numPr>
          <w:ilvl w:val="0"/>
          <w:numId w:val="1"/>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color w:val="000000"/>
          <w:kern w:val="0"/>
          <w:sz w:val="18"/>
          <w:szCs w:val="18"/>
          <w14:ligatures w14:val="none"/>
        </w:rPr>
        <w:t>Developing an operational and management model for coupon distribution</w:t>
      </w:r>
      <w:r w:rsidR="00A9136C">
        <w:rPr>
          <w:rFonts w:ascii="Century Gothic" w:hAnsi="Century Gothic" w:eastAsia="Times New Roman" w:cs="Times New Roman"/>
          <w:color w:val="000000"/>
          <w:kern w:val="0"/>
          <w:sz w:val="18"/>
          <w:szCs w:val="18"/>
          <w14:ligatures w14:val="none"/>
        </w:rPr>
        <w:t>.</w:t>
      </w:r>
    </w:p>
    <w:p w:rsidR="00A9136C" w:rsidP="008356F2" w:rsidRDefault="00A9136C" w14:paraId="4A3F91C9" w14:textId="407E0A47">
      <w:pPr>
        <w:numPr>
          <w:ilvl w:val="0"/>
          <w:numId w:val="1"/>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Pr>
          <w:rFonts w:ascii="Century Gothic" w:hAnsi="Century Gothic" w:eastAsia="Times New Roman" w:cs="Times New Roman"/>
          <w:color w:val="000000"/>
          <w:kern w:val="0"/>
          <w:sz w:val="18"/>
          <w:szCs w:val="18"/>
          <w14:ligatures w14:val="none"/>
        </w:rPr>
        <w:t>Increase th</w:t>
      </w:r>
      <w:r w:rsidR="004F73AF">
        <w:rPr>
          <w:rFonts w:ascii="Century Gothic" w:hAnsi="Century Gothic" w:eastAsia="Times New Roman" w:cs="Times New Roman"/>
          <w:color w:val="000000"/>
          <w:kern w:val="0"/>
          <w:sz w:val="18"/>
          <w:szCs w:val="18"/>
          <w14:ligatures w14:val="none"/>
        </w:rPr>
        <w:t xml:space="preserve">e effoiciency of waste collection through AI based </w:t>
      </w:r>
      <w:r w:rsidR="003C4CC2">
        <w:rPr>
          <w:rFonts w:ascii="Century Gothic" w:hAnsi="Century Gothic" w:eastAsia="Times New Roman" w:cs="Times New Roman"/>
          <w:color w:val="000000"/>
          <w:kern w:val="0"/>
          <w:sz w:val="18"/>
          <w:szCs w:val="18"/>
          <w14:ligatures w14:val="none"/>
        </w:rPr>
        <w:t>collection reporting.</w:t>
      </w:r>
    </w:p>
    <w:p w:rsidRPr="008356F2" w:rsidR="003C4CC2" w:rsidP="008356F2" w:rsidRDefault="003C4CC2" w14:paraId="144E8A24" w14:textId="59C7535C">
      <w:pPr>
        <w:numPr>
          <w:ilvl w:val="0"/>
          <w:numId w:val="1"/>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Pr>
          <w:rFonts w:ascii="Century Gothic" w:hAnsi="Century Gothic" w:eastAsia="Times New Roman" w:cs="Times New Roman"/>
          <w:color w:val="000000"/>
          <w:kern w:val="0"/>
          <w:sz w:val="18"/>
          <w:szCs w:val="18"/>
          <w14:ligatures w14:val="none"/>
        </w:rPr>
        <w:t xml:space="preserve">Create a detailed database for environmental impact </w:t>
      </w:r>
      <w:r w:rsidR="00AB5F30">
        <w:rPr>
          <w:rFonts w:ascii="Century Gothic" w:hAnsi="Century Gothic" w:eastAsia="Times New Roman" w:cs="Times New Roman"/>
          <w:color w:val="000000"/>
          <w:kern w:val="0"/>
          <w:sz w:val="18"/>
          <w:szCs w:val="18"/>
          <w14:ligatures w14:val="none"/>
        </w:rPr>
        <w:t>assessment for potential green funding.</w:t>
      </w:r>
    </w:p>
    <w:p w:rsidRPr="008356F2" w:rsidR="008356F2" w:rsidP="008356F2" w:rsidRDefault="008356F2" w14:paraId="4F1B744A" w14:textId="4ED5E862">
      <w:pPr>
        <w:numPr>
          <w:ilvl w:val="0"/>
          <w:numId w:val="1"/>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color w:val="000000"/>
          <w:kern w:val="0"/>
          <w:sz w:val="18"/>
          <w:szCs w:val="18"/>
          <w14:ligatures w14:val="none"/>
        </w:rPr>
        <w:t>Evaluating environmental and social impacts</w:t>
      </w:r>
      <w:r w:rsidR="00AB5F30">
        <w:rPr>
          <w:rFonts w:ascii="Century Gothic" w:hAnsi="Century Gothic" w:eastAsia="Times New Roman" w:cs="Times New Roman"/>
          <w:color w:val="000000"/>
          <w:kern w:val="0"/>
          <w:sz w:val="18"/>
          <w:szCs w:val="18"/>
          <w14:ligatures w14:val="none"/>
        </w:rPr>
        <w:t>.</w:t>
      </w:r>
    </w:p>
    <w:p w:rsidRPr="008356F2" w:rsidR="008356F2" w:rsidP="008356F2" w:rsidRDefault="008356F2" w14:paraId="6B491C5D" w14:textId="77777777">
      <w:pPr>
        <w:spacing w:after="0" w:line="240" w:lineRule="auto"/>
        <w:rPr>
          <w:rFonts w:ascii="Century Gothic" w:hAnsi="Century Gothic" w:eastAsia="Times New Roman" w:cs="Times New Roman"/>
          <w:kern w:val="0"/>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652FCE63" wp14:editId="760D8D38">
                <wp:extent cx="5731510" cy="1270"/>
                <wp:effectExtent l="0" t="31750" r="0" b="36830"/>
                <wp:docPr id="545905025"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8"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0C68198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8356F2" w:rsidR="008356F2" w:rsidP="008356F2" w:rsidRDefault="008356F2" w14:paraId="6ED201AF" w14:textId="77777777">
      <w:pPr>
        <w:spacing w:before="100" w:beforeAutospacing="1" w:after="100" w:afterAutospacing="1" w:line="240" w:lineRule="auto"/>
        <w:outlineLvl w:val="1"/>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2. Reverse Vending Machine Technology</w:t>
      </w:r>
    </w:p>
    <w:p w:rsidR="008356F2" w:rsidP="008356F2" w:rsidRDefault="008356F2" w14:paraId="099797FB" w14:textId="77777777">
      <w:pPr>
        <w:spacing w:before="100" w:beforeAutospacing="1" w:after="100" w:afterAutospacing="1" w:line="240" w:lineRule="auto"/>
        <w:outlineLvl w:val="2"/>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2.1 Overview of Reverse Vending Machines</w:t>
      </w:r>
    </w:p>
    <w:p w:rsidRPr="00C20CD5" w:rsidR="00C20CD5" w:rsidP="00C20CD5" w:rsidRDefault="00C20CD5" w14:paraId="741D427A" w14:textId="77777777">
      <w:pPr>
        <w:spacing w:before="100" w:beforeAutospacing="1" w:after="100" w:afterAutospacing="1" w:line="240" w:lineRule="auto"/>
        <w:divId w:val="21327152"/>
        <w:rPr>
          <w:rFonts w:ascii="Century Gothic" w:hAnsi="Century Gothic" w:cs="Times New Roman"/>
          <w:color w:val="000000"/>
          <w:kern w:val="0"/>
          <w:sz w:val="18"/>
          <w:szCs w:val="18"/>
          <w14:ligatures w14:val="none"/>
        </w:rPr>
      </w:pPr>
      <w:r w:rsidRPr="00C20CD5">
        <w:rPr>
          <w:rFonts w:ascii="Century Gothic" w:hAnsi="Century Gothic" w:cs="Times New Roman"/>
          <w:color w:val="000000"/>
          <w:kern w:val="0"/>
          <w:sz w:val="18"/>
          <w:szCs w:val="18"/>
          <w14:ligatures w14:val="none"/>
        </w:rPr>
        <w:t>Reverse vending machines (RVMs) are automated devices designed to accept used beverage containers for recycling purposes. They provide a convenient and efficient way for consumers to dispose of bottles and cans, typically offering some form of reward, such as a refund or store credit, in exchange for returned items. Here, we delve into the technical aspects and contemporary engineering trends that shape the operation and development of RVMs.</w:t>
      </w:r>
    </w:p>
    <w:p w:rsidRPr="00C20CD5" w:rsidR="00C20CD5" w:rsidP="00C20CD5" w:rsidRDefault="00C20CD5" w14:paraId="218C2FDE" w14:textId="77777777">
      <w:pPr>
        <w:spacing w:before="100" w:beforeAutospacing="1" w:after="100" w:afterAutospacing="1" w:line="240" w:lineRule="auto"/>
        <w:outlineLvl w:val="2"/>
        <w:divId w:val="21327152"/>
        <w:rPr>
          <w:rFonts w:ascii="Century Gothic" w:hAnsi="Century Gothic" w:eastAsia="Times New Roman" w:cs="Times New Roman"/>
          <w:b/>
          <w:bCs/>
          <w:color w:val="000000"/>
          <w:kern w:val="0"/>
          <w:sz w:val="18"/>
          <w:szCs w:val="18"/>
          <w14:ligatures w14:val="none"/>
        </w:rPr>
      </w:pPr>
      <w:r w:rsidRPr="00C20CD5">
        <w:rPr>
          <w:rFonts w:ascii="Century Gothic" w:hAnsi="Century Gothic" w:eastAsia="Times New Roman" w:cs="Times New Roman"/>
          <w:b/>
          <w:bCs/>
          <w:color w:val="000000"/>
          <w:kern w:val="0"/>
          <w:sz w:val="18"/>
          <w:szCs w:val="18"/>
          <w14:ligatures w14:val="none"/>
        </w:rPr>
        <w:t>Technical Aspects</w:t>
      </w:r>
    </w:p>
    <w:p w:rsidRPr="00C20CD5" w:rsidR="00C20CD5" w:rsidP="00C20CD5" w:rsidRDefault="00C20CD5" w14:paraId="1A15208E" w14:textId="77777777">
      <w:pPr>
        <w:numPr>
          <w:ilvl w:val="0"/>
          <w:numId w:val="12"/>
        </w:numPr>
        <w:spacing w:before="100" w:beforeAutospacing="1" w:after="100" w:afterAutospacing="1" w:line="240" w:lineRule="auto"/>
        <w:divId w:val="21327152"/>
        <w:rPr>
          <w:rFonts w:ascii="Century Gothic" w:hAnsi="Century Gothic" w:cs="Times New Roman"/>
          <w:b/>
          <w:bCs/>
          <w:color w:val="000000"/>
          <w:kern w:val="0"/>
          <w:sz w:val="18"/>
          <w:szCs w:val="18"/>
          <w14:ligatures w14:val="none"/>
        </w:rPr>
      </w:pPr>
      <w:r w:rsidRPr="00C20CD5">
        <w:rPr>
          <w:rFonts w:ascii="Century Gothic" w:hAnsi="Century Gothic" w:cs="Times New Roman"/>
          <w:b/>
          <w:bCs/>
          <w:color w:val="000000"/>
          <w:kern w:val="0"/>
          <w:sz w:val="18"/>
          <w:szCs w:val="18"/>
          <w14:ligatures w14:val="none"/>
        </w:rPr>
        <w:t>Container Recognition Technologies:</w:t>
      </w:r>
    </w:p>
    <w:p w:rsidRPr="00C20CD5" w:rsidR="00C20CD5" w:rsidP="00C20CD5" w:rsidRDefault="00C20CD5" w14:paraId="378EB74F"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Optical Systems</w:t>
      </w:r>
      <w:r w:rsidRPr="00C20CD5">
        <w:rPr>
          <w:rFonts w:ascii="Century Gothic" w:hAnsi="Century Gothic" w:eastAsia="Times New Roman" w:cs="Times New Roman"/>
          <w:color w:val="000000"/>
          <w:kern w:val="0"/>
          <w:sz w:val="18"/>
          <w:szCs w:val="18"/>
          <w14:ligatures w14:val="none"/>
        </w:rPr>
        <w:t>: Modern RVMs utilize advanced optical sensors and cameras to recognize containers. High-resolution cameras, coupled with image processing algorithms, can identify container shapes, labels, and barcodes. This ensures that only qualifying items are accepted.</w:t>
      </w:r>
    </w:p>
    <w:p w:rsidRPr="00C20CD5" w:rsidR="00C20CD5" w:rsidP="00C20CD5" w:rsidRDefault="00C20CD5" w14:paraId="791B35BA"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lastRenderedPageBreak/>
        <w:t>Spectroscopy</w:t>
      </w:r>
      <w:r w:rsidRPr="00C20CD5">
        <w:rPr>
          <w:rFonts w:ascii="Century Gothic" w:hAnsi="Century Gothic" w:eastAsia="Times New Roman" w:cs="Times New Roman"/>
          <w:color w:val="000000"/>
          <w:kern w:val="0"/>
          <w:sz w:val="18"/>
          <w:szCs w:val="18"/>
          <w14:ligatures w14:val="none"/>
        </w:rPr>
        <w:t>: Some machines employ spectroscopic sensors to determine the material composition of containers, distinguishing between PET, HDPE, aluminum, glass, and other materials.</w:t>
      </w:r>
    </w:p>
    <w:p w:rsidRPr="00C20CD5" w:rsidR="00C20CD5" w:rsidP="00C20CD5" w:rsidRDefault="00C20CD5" w14:paraId="23E90D38"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Machine Learning Algorithms</w:t>
      </w:r>
      <w:r w:rsidRPr="00C20CD5">
        <w:rPr>
          <w:rFonts w:ascii="Century Gothic" w:hAnsi="Century Gothic" w:eastAsia="Times New Roman" w:cs="Times New Roman"/>
          <w:color w:val="000000"/>
          <w:kern w:val="0"/>
          <w:sz w:val="18"/>
          <w:szCs w:val="18"/>
          <w14:ligatures w14:val="none"/>
        </w:rPr>
        <w:t>: Artificial intelligence and machine learning algorithms enhance the recognition accuracy and speed by continuously learning from the data collected by the RVMs.</w:t>
      </w:r>
    </w:p>
    <w:p w:rsidRPr="00C20CD5" w:rsidR="00C20CD5" w:rsidP="00C20CD5" w:rsidRDefault="00C20CD5" w14:paraId="3EACDF5B" w14:textId="77777777">
      <w:pPr>
        <w:numPr>
          <w:ilvl w:val="0"/>
          <w:numId w:val="12"/>
        </w:numPr>
        <w:spacing w:before="100" w:beforeAutospacing="1" w:after="100" w:afterAutospacing="1" w:line="240" w:lineRule="auto"/>
        <w:divId w:val="21327152"/>
        <w:rPr>
          <w:rFonts w:ascii="Century Gothic" w:hAnsi="Century Gothic" w:cs="Times New Roman"/>
          <w:color w:val="000000"/>
          <w:kern w:val="0"/>
          <w:sz w:val="18"/>
          <w:szCs w:val="18"/>
          <w14:ligatures w14:val="none"/>
        </w:rPr>
      </w:pPr>
      <w:r w:rsidRPr="00C20CD5">
        <w:rPr>
          <w:rFonts w:ascii="Century Gothic" w:hAnsi="Century Gothic" w:cs="Times New Roman"/>
          <w:b/>
          <w:bCs/>
          <w:color w:val="000000"/>
          <w:kern w:val="0"/>
          <w:sz w:val="18"/>
          <w:szCs w:val="18"/>
          <w14:ligatures w14:val="none"/>
        </w:rPr>
        <w:t>Sorting and Processing Mechanisms</w:t>
      </w:r>
      <w:r w:rsidRPr="00C20CD5">
        <w:rPr>
          <w:rFonts w:ascii="Century Gothic" w:hAnsi="Century Gothic" w:cs="Times New Roman"/>
          <w:color w:val="000000"/>
          <w:kern w:val="0"/>
          <w:sz w:val="18"/>
          <w:szCs w:val="18"/>
          <w14:ligatures w14:val="none"/>
        </w:rPr>
        <w:t>:</w:t>
      </w:r>
    </w:p>
    <w:p w:rsidRPr="00C20CD5" w:rsidR="00C20CD5" w:rsidP="00C20CD5" w:rsidRDefault="00C20CD5" w14:paraId="090180E0"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Automated Sorting</w:t>
      </w:r>
      <w:r w:rsidRPr="00C20CD5">
        <w:rPr>
          <w:rFonts w:ascii="Century Gothic" w:hAnsi="Century Gothic" w:eastAsia="Times New Roman" w:cs="Times New Roman"/>
          <w:color w:val="000000"/>
          <w:kern w:val="0"/>
          <w:sz w:val="18"/>
          <w:szCs w:val="18"/>
          <w14:ligatures w14:val="none"/>
        </w:rPr>
        <w:t>: Once identified, containers are automatically sorted into bins based on material type. This process involves mechanical arms or conveyor systems that direct each container to its respective holding area.</w:t>
      </w:r>
    </w:p>
    <w:p w:rsidRPr="00C20CD5" w:rsidR="00C20CD5" w:rsidP="00C20CD5" w:rsidRDefault="00C20CD5" w14:paraId="19B9CA8C"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Compaction Systems</w:t>
      </w:r>
      <w:r w:rsidRPr="00C20CD5">
        <w:rPr>
          <w:rFonts w:ascii="Century Gothic" w:hAnsi="Century Gothic" w:eastAsia="Times New Roman" w:cs="Times New Roman"/>
          <w:color w:val="000000"/>
          <w:kern w:val="0"/>
          <w:sz w:val="18"/>
          <w:szCs w:val="18"/>
          <w14:ligatures w14:val="none"/>
        </w:rPr>
        <w:t>: To increase storage capacity and transportation efficiency, many RVMs feature compaction units. These units crush or compress containers, particularly aluminum cans and plastics, reducing their volume by up to 90%.</w:t>
      </w:r>
    </w:p>
    <w:p w:rsidRPr="00C20CD5" w:rsidR="00C20CD5" w:rsidP="00C20CD5" w:rsidRDefault="00C20CD5" w14:paraId="079C270B" w14:textId="77777777">
      <w:pPr>
        <w:numPr>
          <w:ilvl w:val="0"/>
          <w:numId w:val="12"/>
        </w:numPr>
        <w:spacing w:before="100" w:beforeAutospacing="1" w:after="100" w:afterAutospacing="1" w:line="240" w:lineRule="auto"/>
        <w:divId w:val="21327152"/>
        <w:rPr>
          <w:rFonts w:ascii="Century Gothic" w:hAnsi="Century Gothic" w:cs="Times New Roman"/>
          <w:b/>
          <w:bCs/>
          <w:color w:val="000000"/>
          <w:kern w:val="0"/>
          <w:sz w:val="18"/>
          <w:szCs w:val="18"/>
          <w14:ligatures w14:val="none"/>
        </w:rPr>
      </w:pPr>
      <w:r w:rsidRPr="00C20CD5">
        <w:rPr>
          <w:rFonts w:ascii="Century Gothic" w:hAnsi="Century Gothic" w:cs="Times New Roman"/>
          <w:b/>
          <w:bCs/>
          <w:color w:val="000000"/>
          <w:kern w:val="0"/>
          <w:sz w:val="18"/>
          <w:szCs w:val="18"/>
          <w14:ligatures w14:val="none"/>
        </w:rPr>
        <w:t>User Interface and Interaction:</w:t>
      </w:r>
    </w:p>
    <w:p w:rsidRPr="00C20CD5" w:rsidR="00C20CD5" w:rsidP="00C20CD5" w:rsidRDefault="00C20CD5" w14:paraId="0C927DBB"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Touchscreens and Displays</w:t>
      </w:r>
      <w:r w:rsidRPr="00C20CD5">
        <w:rPr>
          <w:rFonts w:ascii="Century Gothic" w:hAnsi="Century Gothic" w:eastAsia="Times New Roman" w:cs="Times New Roman"/>
          <w:color w:val="000000"/>
          <w:kern w:val="0"/>
          <w:sz w:val="18"/>
          <w:szCs w:val="18"/>
          <w14:ligatures w14:val="none"/>
        </w:rPr>
        <w:t>: RVMs typically feature intuitive touchscreen interfaces for user interaction. The displays guide users through the recycling process, show accepted materials, and provide transaction receipts or vouchers.</w:t>
      </w:r>
    </w:p>
    <w:p w:rsidRPr="00C20CD5" w:rsidR="00C20CD5" w:rsidP="00C20CD5" w:rsidRDefault="00C20CD5" w14:paraId="6AEE3344"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Connectivity and Feedback System</w:t>
      </w:r>
      <w:r w:rsidRPr="00C20CD5">
        <w:rPr>
          <w:rFonts w:ascii="Century Gothic" w:hAnsi="Century Gothic" w:eastAsia="Times New Roman" w:cs="Times New Roman"/>
          <w:color w:val="000000"/>
          <w:kern w:val="0"/>
          <w:sz w:val="18"/>
          <w:szCs w:val="18"/>
          <w14:ligatures w14:val="none"/>
        </w:rPr>
        <w:t>s: Integration with mobile applications and loyalty programs is common. Users can receive digital vouchers directly to their smartphones or accrue points in retail loyalty programs.</w:t>
      </w:r>
    </w:p>
    <w:p w:rsidRPr="00C20CD5" w:rsidR="00C20CD5" w:rsidP="00C20CD5" w:rsidRDefault="00C20CD5" w14:paraId="4F31AAB8" w14:textId="77777777">
      <w:pPr>
        <w:numPr>
          <w:ilvl w:val="0"/>
          <w:numId w:val="12"/>
        </w:numPr>
        <w:spacing w:before="100" w:beforeAutospacing="1" w:after="100" w:afterAutospacing="1" w:line="240" w:lineRule="auto"/>
        <w:divId w:val="21327152"/>
        <w:rPr>
          <w:rFonts w:ascii="Century Gothic" w:hAnsi="Century Gothic" w:cs="Times New Roman"/>
          <w:b/>
          <w:bCs/>
          <w:color w:val="000000"/>
          <w:kern w:val="0"/>
          <w:sz w:val="18"/>
          <w:szCs w:val="18"/>
          <w14:ligatures w14:val="none"/>
        </w:rPr>
      </w:pPr>
      <w:r w:rsidRPr="00C20CD5">
        <w:rPr>
          <w:rFonts w:ascii="Century Gothic" w:hAnsi="Century Gothic" w:cs="Times New Roman"/>
          <w:b/>
          <w:bCs/>
          <w:color w:val="000000"/>
          <w:kern w:val="0"/>
          <w:sz w:val="18"/>
          <w:szCs w:val="18"/>
          <w14:ligatures w14:val="none"/>
        </w:rPr>
        <w:t>Data Management Systems:</w:t>
      </w:r>
    </w:p>
    <w:p w:rsidRPr="00C20CD5" w:rsidR="00C20CD5" w:rsidP="00C20CD5" w:rsidRDefault="00C20CD5" w14:paraId="3F6F27CA" w14:textId="77777777">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Cloud Connectivity</w:t>
      </w:r>
      <w:r w:rsidRPr="00C20CD5">
        <w:rPr>
          <w:rFonts w:ascii="Century Gothic" w:hAnsi="Century Gothic" w:eastAsia="Times New Roman" w:cs="Times New Roman"/>
          <w:color w:val="000000"/>
          <w:kern w:val="0"/>
          <w:sz w:val="18"/>
          <w:szCs w:val="18"/>
          <w14:ligatures w14:val="none"/>
        </w:rPr>
        <w:t>: Contemporary RVMs are equipped with IoT capabilities, allowing them to connect to cloud systems for remote monitoring and management. This enables real-time data collection on usage patterns, material quantities, and machine status.</w:t>
      </w:r>
    </w:p>
    <w:p w:rsidRPr="00A17CAD" w:rsidR="00C20CD5" w:rsidP="00A17CAD" w:rsidRDefault="00C20CD5" w14:paraId="2E02EC91" w14:textId="07B27A8F">
      <w:pPr>
        <w:numPr>
          <w:ilvl w:val="1"/>
          <w:numId w:val="12"/>
        </w:numPr>
        <w:spacing w:before="100" w:beforeAutospacing="1" w:after="100" w:afterAutospacing="1" w:line="240" w:lineRule="auto"/>
        <w:divId w:val="21327152"/>
        <w:rPr>
          <w:rFonts w:ascii="Century Gothic" w:hAnsi="Century Gothic" w:eastAsia="Times New Roman" w:cs="Times New Roman"/>
          <w:color w:val="000000"/>
          <w:kern w:val="0"/>
          <w:sz w:val="18"/>
          <w:szCs w:val="18"/>
          <w14:ligatures w14:val="none"/>
        </w:rPr>
      </w:pPr>
      <w:r w:rsidRPr="00C20CD5">
        <w:rPr>
          <w:rFonts w:ascii="Century Gothic" w:hAnsi="Century Gothic" w:eastAsia="Times New Roman" w:cs="Times New Roman"/>
          <w:i/>
          <w:iCs/>
          <w:color w:val="000000"/>
          <w:kern w:val="0"/>
          <w:sz w:val="18"/>
          <w:szCs w:val="18"/>
          <w14:ligatures w14:val="none"/>
        </w:rPr>
        <w:t>Analytics and Reporting</w:t>
      </w:r>
      <w:r w:rsidRPr="00C20CD5">
        <w:rPr>
          <w:rFonts w:ascii="Century Gothic" w:hAnsi="Century Gothic" w:eastAsia="Times New Roman" w:cs="Times New Roman"/>
          <w:color w:val="000000"/>
          <w:kern w:val="0"/>
          <w:sz w:val="18"/>
          <w:szCs w:val="18"/>
          <w14:ligatures w14:val="none"/>
        </w:rPr>
        <w:t>: Data analytics platforms process the collected data, providing insights for optimizing operations, identifying maintenance needs, and ensuring efficient recycling logistics</w:t>
      </w:r>
    </w:p>
    <w:p w:rsidRPr="008356F2" w:rsidR="008356F2" w:rsidP="008356F2" w:rsidRDefault="008356F2" w14:paraId="10A79049" w14:textId="18858FF7">
      <w:pPr>
        <w:spacing w:after="0" w:line="240" w:lineRule="auto"/>
        <w:rPr>
          <w:rFonts w:ascii="Century Gothic" w:hAnsi="Century Gothic" w:eastAsia="Times New Roman" w:cs="Times New Roman"/>
          <w:kern w:val="0"/>
          <w:sz w:val="18"/>
          <w:szCs w:val="18"/>
          <w14:ligatures w14:val="none"/>
        </w:rPr>
      </w:pPr>
    </w:p>
    <w:p w:rsidR="008356F2" w:rsidP="008356F2" w:rsidRDefault="008356F2" w14:paraId="07570130" w14:textId="48BCD8F3">
      <w:pPr>
        <w:spacing w:before="100" w:beforeAutospacing="1" w:after="100" w:afterAutospacing="1" w:line="240" w:lineRule="auto"/>
        <w:outlineLvl w:val="1"/>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 xml:space="preserve">3. </w:t>
      </w:r>
      <w:r w:rsidR="007619C6">
        <w:rPr>
          <w:rFonts w:ascii="Century Gothic" w:hAnsi="Century Gothic" w:eastAsia="Times New Roman" w:cs="Times New Roman"/>
          <w:b/>
          <w:bCs/>
          <w:color w:val="000000"/>
          <w:kern w:val="0"/>
          <w:sz w:val="18"/>
          <w:szCs w:val="18"/>
          <w14:ligatures w14:val="none"/>
        </w:rPr>
        <w:t>Busine</w:t>
      </w:r>
      <w:r w:rsidR="00154BC8">
        <w:rPr>
          <w:rFonts w:ascii="Century Gothic" w:hAnsi="Century Gothic" w:eastAsia="Times New Roman" w:cs="Times New Roman"/>
          <w:b/>
          <w:bCs/>
          <w:color w:val="000000"/>
          <w:kern w:val="0"/>
          <w:sz w:val="18"/>
          <w:szCs w:val="18"/>
          <w14:ligatures w14:val="none"/>
        </w:rPr>
        <w:t>ss model architectural development.</w:t>
      </w:r>
    </w:p>
    <w:p w:rsidRPr="008356F2" w:rsidR="008619AF" w:rsidP="008356F2" w:rsidRDefault="00A179BC" w14:paraId="4AEDB9E5" w14:textId="6D0C391B">
      <w:pPr>
        <w:spacing w:before="100" w:beforeAutospacing="1" w:after="100" w:afterAutospacing="1" w:line="240" w:lineRule="auto"/>
        <w:outlineLvl w:val="1"/>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08F7BE9E" wp14:editId="235865FA">
                <wp:extent cx="5731510" cy="1270"/>
                <wp:effectExtent l="0" t="31750" r="0" b="36830"/>
                <wp:docPr id="842541112"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7"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343C7BDC"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9E0461" w:rsidR="007619C6" w:rsidRDefault="0080755C" w14:paraId="0855445E" w14:textId="4BFF1AB6">
      <w:pPr>
        <w:pStyle w:val="NormalWeb"/>
        <w:divId w:val="1512794121"/>
        <w:rPr>
          <w:rFonts w:ascii="Century Gothic" w:hAnsi="Century Gothic"/>
          <w:color w:val="000000"/>
          <w:sz w:val="18"/>
          <w:szCs w:val="18"/>
        </w:rPr>
      </w:pPr>
      <w:r w:rsidRPr="009E0461">
        <w:rPr>
          <w:rFonts w:ascii="Century Gothic" w:hAnsi="Century Gothic"/>
          <w:color w:val="000000"/>
          <w:sz w:val="18"/>
          <w:szCs w:val="18"/>
        </w:rPr>
        <w:t>The development of a sustainable model to support the efforts of the bread company require</w:t>
      </w:r>
      <w:r w:rsidRPr="009E0461" w:rsidR="00F23678">
        <w:rPr>
          <w:rFonts w:ascii="Century Gothic" w:hAnsi="Century Gothic"/>
          <w:color w:val="000000"/>
          <w:sz w:val="18"/>
          <w:szCs w:val="18"/>
        </w:rPr>
        <w:t>s agility and lean processes. In this regard, th</w:t>
      </w:r>
      <w:r w:rsidRPr="009E0461" w:rsidR="00515C73">
        <w:rPr>
          <w:rFonts w:ascii="Century Gothic" w:hAnsi="Century Gothic"/>
          <w:color w:val="000000"/>
          <w:sz w:val="18"/>
          <w:szCs w:val="18"/>
        </w:rPr>
        <w:t>is project will be undertaken through a startup venture backed by the bread company</w:t>
      </w:r>
      <w:r w:rsidRPr="009E0461" w:rsidR="00ED2EC4">
        <w:rPr>
          <w:rFonts w:ascii="Century Gothic" w:hAnsi="Century Gothic"/>
          <w:color w:val="000000"/>
          <w:sz w:val="18"/>
          <w:szCs w:val="18"/>
        </w:rPr>
        <w:t xml:space="preserve">. This will ensure a more efficient route to market as well as </w:t>
      </w:r>
      <w:r w:rsidRPr="009E0461" w:rsidR="007B178E">
        <w:rPr>
          <w:rFonts w:ascii="Century Gothic" w:hAnsi="Century Gothic"/>
          <w:color w:val="000000"/>
          <w:sz w:val="18"/>
          <w:szCs w:val="18"/>
        </w:rPr>
        <w:t>a c</w:t>
      </w:r>
      <w:r w:rsidRPr="009E0461" w:rsidR="009E0461">
        <w:rPr>
          <w:rFonts w:ascii="Century Gothic" w:hAnsi="Century Gothic"/>
          <w:color w:val="000000"/>
          <w:sz w:val="18"/>
          <w:szCs w:val="18"/>
        </w:rPr>
        <w:t>ontrolled</w:t>
      </w:r>
      <w:r w:rsidRPr="009E0461" w:rsidR="007B178E">
        <w:rPr>
          <w:rFonts w:ascii="Century Gothic" w:hAnsi="Century Gothic"/>
          <w:color w:val="000000"/>
          <w:sz w:val="18"/>
          <w:szCs w:val="18"/>
        </w:rPr>
        <w:t xml:space="preserve"> environment for testing the technology and collecting feedback.</w:t>
      </w:r>
      <w:r w:rsidR="003D393B">
        <w:rPr>
          <w:rFonts w:ascii="Century Gothic" w:hAnsi="Century Gothic"/>
          <w:color w:val="000000"/>
          <w:sz w:val="18"/>
          <w:szCs w:val="18"/>
        </w:rPr>
        <w:t xml:space="preserve"> </w:t>
      </w:r>
      <w:r w:rsidR="00D0601D">
        <w:rPr>
          <w:rFonts w:ascii="Century Gothic" w:hAnsi="Century Gothic"/>
          <w:color w:val="000000"/>
          <w:sz w:val="18"/>
          <w:szCs w:val="18"/>
        </w:rPr>
        <w:t>Here are the key processes that will be undertaken.</w:t>
      </w:r>
    </w:p>
    <w:p w:rsidRPr="007302B7" w:rsidR="007619C6" w:rsidP="007302B7" w:rsidRDefault="007619C6" w14:paraId="4A2C7382" w14:textId="33430008">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b/>
          <w:bCs/>
          <w:color w:val="000000"/>
          <w:kern w:val="0"/>
          <w:sz w:val="18"/>
          <w:szCs w:val="18"/>
          <w14:ligatures w14:val="none"/>
        </w:rPr>
      </w:pPr>
      <w:r w:rsidRPr="007302B7">
        <w:rPr>
          <w:rFonts w:ascii="Century Gothic" w:hAnsi="Century Gothic" w:eastAsia="Times New Roman" w:cs="Times New Roman"/>
          <w:b/>
          <w:bCs/>
          <w:color w:val="000000"/>
          <w:kern w:val="0"/>
          <w:sz w:val="18"/>
          <w:szCs w:val="18"/>
          <w14:ligatures w14:val="none"/>
        </w:rPr>
        <w:t>Feasibility Study and Planning</w:t>
      </w:r>
    </w:p>
    <w:p w:rsidRPr="007619C6" w:rsidR="007619C6" w:rsidP="007619C6" w:rsidRDefault="007619C6" w14:paraId="26582642" w14:textId="77777777">
      <w:pPr>
        <w:numPr>
          <w:ilvl w:val="0"/>
          <w:numId w:val="14"/>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Market Research: Conduct a market analysis to understand the demand for recycling technologies, competitors, and regulatory requirements.</w:t>
      </w:r>
    </w:p>
    <w:p w:rsidRPr="007619C6" w:rsidR="007619C6" w:rsidP="007619C6" w:rsidRDefault="007619C6" w14:paraId="1EC07843" w14:textId="77777777">
      <w:pPr>
        <w:numPr>
          <w:ilvl w:val="0"/>
          <w:numId w:val="14"/>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Technology Assessment: Evaluate the technology and infrastructure required for reverse vending machines (RVMs) and decide on in-house development or outsourcing.</w:t>
      </w:r>
    </w:p>
    <w:p w:rsidRPr="007619C6" w:rsidR="007619C6" w:rsidP="007619C6" w:rsidRDefault="007619C6" w14:paraId="58D2645A" w14:textId="1FE97AB5">
      <w:pPr>
        <w:numPr>
          <w:ilvl w:val="0"/>
          <w:numId w:val="14"/>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 xml:space="preserve">Corporate Partnership: Secure backing from </w:t>
      </w:r>
      <w:r w:rsidR="00357F51">
        <w:rPr>
          <w:rFonts w:ascii="Century Gothic" w:hAnsi="Century Gothic" w:eastAsia="Times New Roman" w:cs="Times New Roman"/>
          <w:color w:val="000000"/>
          <w:kern w:val="0"/>
          <w:sz w:val="18"/>
          <w:szCs w:val="18"/>
          <w14:ligatures w14:val="none"/>
        </w:rPr>
        <w:t>the</w:t>
      </w:r>
      <w:r w:rsidRPr="007619C6">
        <w:rPr>
          <w:rFonts w:ascii="Century Gothic" w:hAnsi="Century Gothic" w:eastAsia="Times New Roman" w:cs="Times New Roman"/>
          <w:color w:val="000000"/>
          <w:kern w:val="0"/>
          <w:sz w:val="18"/>
          <w:szCs w:val="18"/>
          <w14:ligatures w14:val="none"/>
        </w:rPr>
        <w:t xml:space="preserve"> corporate entity which will provide resources, credibility, and potentially access to production and distribution channels.</w:t>
      </w:r>
    </w:p>
    <w:p w:rsidRPr="007302B7" w:rsidR="007619C6" w:rsidP="007302B7" w:rsidRDefault="007619C6" w14:paraId="1A60AB83" w14:textId="0DA3E463">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b/>
          <w:bCs/>
          <w:color w:val="000000"/>
          <w:kern w:val="0"/>
          <w:sz w:val="18"/>
          <w:szCs w:val="18"/>
          <w14:ligatures w14:val="none"/>
        </w:rPr>
      </w:pPr>
      <w:r w:rsidRPr="007302B7">
        <w:rPr>
          <w:rFonts w:ascii="Century Gothic" w:hAnsi="Century Gothic" w:eastAsia="Times New Roman" w:cs="Times New Roman"/>
          <w:b/>
          <w:bCs/>
          <w:color w:val="000000"/>
          <w:kern w:val="0"/>
          <w:sz w:val="18"/>
          <w:szCs w:val="18"/>
          <w14:ligatures w14:val="none"/>
        </w:rPr>
        <w:t>Business and Revenue Model Development</w:t>
      </w:r>
    </w:p>
    <w:p w:rsidRPr="007619C6" w:rsidR="007619C6" w:rsidP="007619C6" w:rsidRDefault="007619C6" w14:paraId="09A079C4" w14:textId="77777777">
      <w:pPr>
        <w:numPr>
          <w:ilvl w:val="0"/>
          <w:numId w:val="15"/>
        </w:numPr>
        <w:spacing w:before="100" w:beforeAutospacing="1" w:after="100" w:afterAutospacing="1" w:line="240" w:lineRule="auto"/>
        <w:divId w:val="1512794121"/>
        <w:rPr>
          <w:rFonts w:ascii="Century Gothic" w:hAnsi="Century Gothic" w:cs="Times New Roman"/>
          <w:color w:val="000000"/>
          <w:kern w:val="0"/>
          <w:sz w:val="18"/>
          <w:szCs w:val="18"/>
          <w14:ligatures w14:val="none"/>
        </w:rPr>
      </w:pPr>
      <w:r w:rsidRPr="007619C6">
        <w:rPr>
          <w:rFonts w:ascii="Century Gothic" w:hAnsi="Century Gothic" w:cs="Times New Roman"/>
          <w:color w:val="000000"/>
          <w:kern w:val="0"/>
          <w:sz w:val="18"/>
          <w:szCs w:val="18"/>
          <w14:ligatures w14:val="none"/>
        </w:rPr>
        <w:t>Revenue Streams:</w:t>
      </w:r>
    </w:p>
    <w:p w:rsidRPr="007619C6" w:rsidR="007619C6" w:rsidP="007619C6" w:rsidRDefault="007619C6" w14:paraId="6C6BF804" w14:textId="6DB28459">
      <w:pPr>
        <w:numPr>
          <w:ilvl w:val="1"/>
          <w:numId w:val="15"/>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Recyclable Material Sales: Partner with recycling companies to sell collected materials.</w:t>
      </w:r>
    </w:p>
    <w:p w:rsidRPr="007619C6" w:rsidR="007619C6" w:rsidP="007619C6" w:rsidRDefault="007619C6" w14:paraId="0516AAEA" w14:textId="77777777">
      <w:pPr>
        <w:numPr>
          <w:ilvl w:val="1"/>
          <w:numId w:val="15"/>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Advertising: Sell advertising space on RVMs' digital screens.</w:t>
      </w:r>
    </w:p>
    <w:p w:rsidRPr="007619C6" w:rsidR="007619C6" w:rsidP="007619C6" w:rsidRDefault="007619C6" w14:paraId="51A7976B" w14:textId="77777777">
      <w:pPr>
        <w:numPr>
          <w:ilvl w:val="1"/>
          <w:numId w:val="15"/>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Corporate Sponsorship: Seek additional sponsorships from eco-conscious companies.</w:t>
      </w:r>
    </w:p>
    <w:p w:rsidRPr="007619C6" w:rsidR="007619C6" w:rsidP="007619C6" w:rsidRDefault="007619C6" w14:paraId="2568B77E" w14:textId="77777777">
      <w:pPr>
        <w:numPr>
          <w:ilvl w:val="1"/>
          <w:numId w:val="15"/>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Data Monetization: Aggregate and sell data analytics to understand consumer behavior and recycling trends.</w:t>
      </w:r>
    </w:p>
    <w:p w:rsidRPr="007619C6" w:rsidR="007619C6" w:rsidP="007619C6" w:rsidRDefault="007619C6" w14:paraId="3D542B86" w14:textId="77777777">
      <w:pPr>
        <w:numPr>
          <w:ilvl w:val="0"/>
          <w:numId w:val="15"/>
        </w:numPr>
        <w:spacing w:before="100" w:beforeAutospacing="1" w:after="100" w:afterAutospacing="1" w:line="240" w:lineRule="auto"/>
        <w:divId w:val="1512794121"/>
        <w:rPr>
          <w:rFonts w:ascii="Century Gothic" w:hAnsi="Century Gothic" w:cs="Times New Roman"/>
          <w:color w:val="000000"/>
          <w:kern w:val="0"/>
          <w:sz w:val="18"/>
          <w:szCs w:val="18"/>
          <w14:ligatures w14:val="none"/>
        </w:rPr>
      </w:pPr>
      <w:r w:rsidRPr="007619C6">
        <w:rPr>
          <w:rFonts w:ascii="Century Gothic" w:hAnsi="Century Gothic" w:cs="Times New Roman"/>
          <w:color w:val="000000"/>
          <w:kern w:val="0"/>
          <w:sz w:val="18"/>
          <w:szCs w:val="18"/>
          <w14:ligatures w14:val="none"/>
        </w:rPr>
        <w:t>Incentive Plan:</w:t>
      </w:r>
    </w:p>
    <w:p w:rsidRPr="007619C6" w:rsidR="007619C6" w:rsidP="007619C6" w:rsidRDefault="007619C6" w14:paraId="611689D8" w14:textId="77777777">
      <w:pPr>
        <w:numPr>
          <w:ilvl w:val="1"/>
          <w:numId w:val="15"/>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lastRenderedPageBreak/>
        <w:t>School Bursaries: Collaborate with educational institutions and set up a system where recyclers can donate their rewards to school bursary programs. Establish criteria and a transparent mechanism for bursary distribution.</w:t>
      </w:r>
    </w:p>
    <w:p w:rsidRPr="007619C6" w:rsidR="00A8625D" w:rsidP="00A8625D" w:rsidRDefault="007619C6" w14:paraId="0EABDAB9" w14:textId="547FEDFE">
      <w:pPr>
        <w:numPr>
          <w:ilvl w:val="1"/>
          <w:numId w:val="15"/>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Rewards Program: Users can receive monetary rewards, vouchers, or points for recycling, which they can either keep or allocate to bursaries.</w:t>
      </w:r>
    </w:p>
    <w:p w:rsidRPr="00CD0EC7" w:rsidR="007619C6" w:rsidP="00CD0EC7" w:rsidRDefault="007619C6" w14:paraId="4AC596A8" w14:textId="404F2192">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b/>
          <w:bCs/>
          <w:color w:val="000000"/>
          <w:kern w:val="0"/>
          <w:sz w:val="18"/>
          <w:szCs w:val="18"/>
          <w14:ligatures w14:val="none"/>
        </w:rPr>
      </w:pPr>
      <w:r w:rsidRPr="00CD0EC7">
        <w:rPr>
          <w:rFonts w:ascii="Century Gothic" w:hAnsi="Century Gothic" w:eastAsia="Times New Roman" w:cs="Times New Roman"/>
          <w:b/>
          <w:bCs/>
          <w:color w:val="000000"/>
          <w:kern w:val="0"/>
          <w:sz w:val="18"/>
          <w:szCs w:val="18"/>
          <w14:ligatures w14:val="none"/>
        </w:rPr>
        <w:t>Product Development</w:t>
      </w:r>
    </w:p>
    <w:p w:rsidRPr="007619C6" w:rsidR="007619C6" w:rsidP="007619C6" w:rsidRDefault="007619C6" w14:paraId="19318D44" w14:textId="77777777">
      <w:pPr>
        <w:numPr>
          <w:ilvl w:val="0"/>
          <w:numId w:val="16"/>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Machine Design: Design user-friendly and efficient RVMs capable of handling different recyclable materials.</w:t>
      </w:r>
    </w:p>
    <w:p w:rsidRPr="007619C6" w:rsidR="007619C6" w:rsidP="007619C6" w:rsidRDefault="007619C6" w14:paraId="1D052234" w14:textId="77777777">
      <w:pPr>
        <w:numPr>
          <w:ilvl w:val="0"/>
          <w:numId w:val="16"/>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Software Development: Create a robust software system that manages transactions, tracking, and interfaces with a user-friendly app.</w:t>
      </w:r>
    </w:p>
    <w:p w:rsidRPr="007619C6" w:rsidR="007619C6" w:rsidP="007619C6" w:rsidRDefault="007619C6" w14:paraId="68FDD6B7" w14:textId="77777777">
      <w:pPr>
        <w:numPr>
          <w:ilvl w:val="0"/>
          <w:numId w:val="16"/>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Security Features: Implement security measures to prevent fraud and machine tampering.</w:t>
      </w:r>
    </w:p>
    <w:p w:rsidRPr="00CD0EC7" w:rsidR="007619C6" w:rsidP="00CD0EC7" w:rsidRDefault="007619C6" w14:paraId="6D2322AA" w14:textId="704DAFC4">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b/>
          <w:bCs/>
          <w:color w:val="000000"/>
          <w:kern w:val="0"/>
          <w:sz w:val="18"/>
          <w:szCs w:val="18"/>
          <w14:ligatures w14:val="none"/>
        </w:rPr>
      </w:pPr>
      <w:r w:rsidRPr="00CD0EC7">
        <w:rPr>
          <w:rFonts w:ascii="Century Gothic" w:hAnsi="Century Gothic" w:eastAsia="Times New Roman" w:cs="Times New Roman"/>
          <w:b/>
          <w:bCs/>
          <w:color w:val="000000"/>
          <w:kern w:val="0"/>
          <w:sz w:val="18"/>
          <w:szCs w:val="18"/>
          <w14:ligatures w14:val="none"/>
        </w:rPr>
        <w:t>Pilot Program</w:t>
      </w:r>
    </w:p>
    <w:p w:rsidRPr="007619C6" w:rsidR="007619C6" w:rsidP="007619C6" w:rsidRDefault="007619C6" w14:paraId="77F5BB15" w14:textId="77777777">
      <w:pPr>
        <w:numPr>
          <w:ilvl w:val="0"/>
          <w:numId w:val="17"/>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Location Selection: Choose pilot sites based on population density, accessibility, and willingness of local businesses and schools to participate.</w:t>
      </w:r>
    </w:p>
    <w:p w:rsidRPr="007619C6" w:rsidR="007619C6" w:rsidP="007619C6" w:rsidRDefault="007619C6" w14:paraId="2917010D" w14:textId="77777777">
      <w:pPr>
        <w:numPr>
          <w:ilvl w:val="0"/>
          <w:numId w:val="17"/>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Partnership with Schools: Work with schools to promote the bursary incentive. This could involve educational programs or marketing within school communities.</w:t>
      </w:r>
    </w:p>
    <w:p w:rsidR="00CD0EC7" w:rsidP="00CD0EC7" w:rsidRDefault="007619C6" w14:paraId="3F4964C7" w14:textId="77777777">
      <w:pPr>
        <w:numPr>
          <w:ilvl w:val="0"/>
          <w:numId w:val="17"/>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Feedback Loop: Set up mechanisms for collecting user feedback and machine performance data to refine the system before a wider roll-out.</w:t>
      </w:r>
    </w:p>
    <w:p w:rsidRPr="00CD0EC7" w:rsidR="007619C6" w:rsidP="00CD0EC7" w:rsidRDefault="007619C6" w14:paraId="1EA5D5DA" w14:textId="3483CC82">
      <w:pPr>
        <w:pStyle w:val="ListParagraph"/>
        <w:numPr>
          <w:ilvl w:val="0"/>
          <w:numId w:val="22"/>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CD0EC7">
        <w:rPr>
          <w:rFonts w:ascii="Century Gothic" w:hAnsi="Century Gothic" w:eastAsia="Times New Roman" w:cs="Times New Roman"/>
          <w:b/>
          <w:bCs/>
          <w:color w:val="000000"/>
          <w:kern w:val="0"/>
          <w:sz w:val="18"/>
          <w:szCs w:val="18"/>
          <w14:ligatures w14:val="none"/>
        </w:rPr>
        <w:t>. Marketing and Launch</w:t>
      </w:r>
    </w:p>
    <w:p w:rsidRPr="007619C6" w:rsidR="007619C6" w:rsidP="007619C6" w:rsidRDefault="007619C6" w14:paraId="5B09C01F" w14:textId="77777777">
      <w:pPr>
        <w:numPr>
          <w:ilvl w:val="0"/>
          <w:numId w:val="18"/>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Branding: Develop a strong brand identity that emphasizes eco-friendliness and community support.</w:t>
      </w:r>
    </w:p>
    <w:p w:rsidRPr="007619C6" w:rsidR="007619C6" w:rsidP="007619C6" w:rsidRDefault="007619C6" w14:paraId="201C3A62" w14:textId="77777777">
      <w:pPr>
        <w:numPr>
          <w:ilvl w:val="0"/>
          <w:numId w:val="18"/>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Launch Campaign: Implement a comprehensive marketing strategy including social media, community events, and collaborations with schools and local media.</w:t>
      </w:r>
    </w:p>
    <w:p w:rsidRPr="007619C6" w:rsidR="007619C6" w:rsidP="007619C6" w:rsidRDefault="007619C6" w14:paraId="75F88243" w14:textId="77777777">
      <w:pPr>
        <w:numPr>
          <w:ilvl w:val="0"/>
          <w:numId w:val="18"/>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Corporate PR: Leverage the corporate partnership in marketing campaigns to build trust and visibility.</w:t>
      </w:r>
    </w:p>
    <w:p w:rsidRPr="009F7F3F" w:rsidR="007619C6" w:rsidP="009F7F3F" w:rsidRDefault="007619C6" w14:paraId="59AA3B2D" w14:textId="06F41DD8">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color w:val="000000"/>
          <w:kern w:val="0"/>
          <w:sz w:val="18"/>
          <w:szCs w:val="18"/>
          <w14:ligatures w14:val="none"/>
        </w:rPr>
      </w:pPr>
      <w:r w:rsidRPr="009F7F3F">
        <w:rPr>
          <w:rFonts w:ascii="Century Gothic" w:hAnsi="Century Gothic" w:eastAsia="Times New Roman" w:cs="Times New Roman"/>
          <w:b/>
          <w:bCs/>
          <w:color w:val="000000"/>
          <w:kern w:val="0"/>
          <w:sz w:val="18"/>
          <w:szCs w:val="18"/>
          <w14:ligatures w14:val="none"/>
        </w:rPr>
        <w:t>Operations and Scaling</w:t>
      </w:r>
    </w:p>
    <w:p w:rsidRPr="007619C6" w:rsidR="007619C6" w:rsidP="007619C6" w:rsidRDefault="007619C6" w14:paraId="72AD0A55" w14:textId="77777777">
      <w:pPr>
        <w:numPr>
          <w:ilvl w:val="0"/>
          <w:numId w:val="19"/>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Logistics: Establish an efficient system for the collection, sorting, and transportation of recyclables.</w:t>
      </w:r>
    </w:p>
    <w:p w:rsidRPr="007619C6" w:rsidR="007619C6" w:rsidP="007619C6" w:rsidRDefault="007619C6" w14:paraId="737248AD" w14:textId="77777777">
      <w:pPr>
        <w:numPr>
          <w:ilvl w:val="0"/>
          <w:numId w:val="19"/>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Maintenance and Support: Develop a support system for machine maintenance and customer service.</w:t>
      </w:r>
    </w:p>
    <w:p w:rsidRPr="007619C6" w:rsidR="007619C6" w:rsidP="007619C6" w:rsidRDefault="007619C6" w14:paraId="025B00F9" w14:textId="77777777">
      <w:pPr>
        <w:numPr>
          <w:ilvl w:val="0"/>
          <w:numId w:val="19"/>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Expansion Plan: Based on pilot results, plan for scaling operations to additional locations and potentially to other regions or countries.</w:t>
      </w:r>
    </w:p>
    <w:p w:rsidRPr="009F7F3F" w:rsidR="007619C6" w:rsidP="009F7F3F" w:rsidRDefault="007619C6" w14:paraId="78410820" w14:textId="3B1BFAD7">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color w:val="000000"/>
          <w:kern w:val="0"/>
          <w:sz w:val="18"/>
          <w:szCs w:val="18"/>
          <w14:ligatures w14:val="none"/>
        </w:rPr>
      </w:pPr>
      <w:r w:rsidRPr="009F7F3F">
        <w:rPr>
          <w:rFonts w:ascii="Century Gothic" w:hAnsi="Century Gothic" w:eastAsia="Times New Roman" w:cs="Times New Roman"/>
          <w:b/>
          <w:bCs/>
          <w:color w:val="000000"/>
          <w:kern w:val="0"/>
          <w:sz w:val="18"/>
          <w:szCs w:val="18"/>
          <w14:ligatures w14:val="none"/>
        </w:rPr>
        <w:t>Performance Monitoring and Adjustment</w:t>
      </w:r>
    </w:p>
    <w:p w:rsidRPr="007619C6" w:rsidR="007619C6" w:rsidP="007619C6" w:rsidRDefault="007619C6" w14:paraId="71E1B241" w14:textId="77777777">
      <w:pPr>
        <w:numPr>
          <w:ilvl w:val="0"/>
          <w:numId w:val="20"/>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Data Analysis: Continually analyze operational data to optimize machine performance and user engagement.</w:t>
      </w:r>
    </w:p>
    <w:p w:rsidRPr="007619C6" w:rsidR="007619C6" w:rsidP="007619C6" w:rsidRDefault="007619C6" w14:paraId="7A805754" w14:textId="77777777">
      <w:pPr>
        <w:numPr>
          <w:ilvl w:val="0"/>
          <w:numId w:val="20"/>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Revenue Review: Regularly assess revenue streams to ensure financial sustainability.</w:t>
      </w:r>
    </w:p>
    <w:p w:rsidRPr="007619C6" w:rsidR="007619C6" w:rsidP="007619C6" w:rsidRDefault="007619C6" w14:paraId="28A32B20" w14:textId="77777777">
      <w:pPr>
        <w:numPr>
          <w:ilvl w:val="0"/>
          <w:numId w:val="20"/>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Impact Evaluation: Measure the educational and financial impact on schools through the bursary program and adjust based on feedback.</w:t>
      </w:r>
    </w:p>
    <w:p w:rsidRPr="009F7F3F" w:rsidR="007619C6" w:rsidP="009F7F3F" w:rsidRDefault="00862A39" w14:paraId="16BA3CF9" w14:textId="332B44EC">
      <w:pPr>
        <w:pStyle w:val="ListParagraph"/>
        <w:numPr>
          <w:ilvl w:val="0"/>
          <w:numId w:val="22"/>
        </w:numPr>
        <w:spacing w:before="100" w:beforeAutospacing="1" w:after="100" w:afterAutospacing="1" w:line="240" w:lineRule="auto"/>
        <w:outlineLvl w:val="2"/>
        <w:divId w:val="1512794121"/>
        <w:rPr>
          <w:rFonts w:ascii="Century Gothic" w:hAnsi="Century Gothic" w:eastAsia="Times New Roman" w:cs="Times New Roman"/>
          <w:color w:val="000000"/>
          <w:kern w:val="0"/>
          <w:sz w:val="18"/>
          <w:szCs w:val="18"/>
          <w14:ligatures w14:val="none"/>
        </w:rPr>
      </w:pPr>
      <w:r>
        <w:rPr>
          <w:rFonts w:ascii="Century Gothic" w:hAnsi="Century Gothic" w:eastAsia="Times New Roman" w:cs="Times New Roman"/>
          <w:b/>
          <w:bCs/>
          <w:color w:val="000000"/>
          <w:kern w:val="0"/>
          <w:sz w:val="18"/>
          <w:szCs w:val="18"/>
          <w14:ligatures w14:val="none"/>
        </w:rPr>
        <w:t>Iterative innovation.</w:t>
      </w:r>
    </w:p>
    <w:p w:rsidRPr="007619C6" w:rsidR="007619C6" w:rsidP="007619C6" w:rsidRDefault="007619C6" w14:paraId="01C1E7D7" w14:textId="77777777">
      <w:pPr>
        <w:numPr>
          <w:ilvl w:val="0"/>
          <w:numId w:val="21"/>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Technology Upgrades: Invest in R&amp;D to improve machine efficiency and user experience.</w:t>
      </w:r>
    </w:p>
    <w:p w:rsidRPr="007619C6" w:rsidR="007619C6" w:rsidP="007619C6" w:rsidRDefault="007619C6" w14:paraId="06E7CC3F" w14:textId="77777777">
      <w:pPr>
        <w:numPr>
          <w:ilvl w:val="0"/>
          <w:numId w:val="21"/>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Partnerships: Explore additional partnerships with NGOs, government entities, or international organizations to enhance program reach and effectiveness.</w:t>
      </w:r>
    </w:p>
    <w:p w:rsidR="007B5122" w:rsidP="00687EAF" w:rsidRDefault="007619C6" w14:paraId="4F969C19" w14:textId="3C81D261">
      <w:pPr>
        <w:numPr>
          <w:ilvl w:val="0"/>
          <w:numId w:val="21"/>
        </w:num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r w:rsidRPr="007619C6">
        <w:rPr>
          <w:rFonts w:ascii="Century Gothic" w:hAnsi="Century Gothic" w:eastAsia="Times New Roman" w:cs="Times New Roman"/>
          <w:color w:val="000000"/>
          <w:kern w:val="0"/>
          <w:sz w:val="18"/>
          <w:szCs w:val="18"/>
          <w14:ligatures w14:val="none"/>
        </w:rPr>
        <w:t>Community Engagement: Foster community involvement and education on recycling initiatives, enhancing the social impact of the startup.</w:t>
      </w:r>
    </w:p>
    <w:p w:rsidRPr="00687EAF" w:rsidR="00687EAF" w:rsidP="00687EAF" w:rsidRDefault="00687EAF" w14:paraId="0A25E70A" w14:textId="77777777">
      <w:pPr>
        <w:spacing w:before="100" w:beforeAutospacing="1" w:after="100" w:afterAutospacing="1" w:line="240" w:lineRule="auto"/>
        <w:divId w:val="1512794121"/>
        <w:rPr>
          <w:rFonts w:ascii="Century Gothic" w:hAnsi="Century Gothic" w:eastAsia="Times New Roman" w:cs="Times New Roman"/>
          <w:color w:val="000000"/>
          <w:kern w:val="0"/>
          <w:sz w:val="18"/>
          <w:szCs w:val="18"/>
          <w14:ligatures w14:val="none"/>
        </w:rPr>
      </w:pPr>
    </w:p>
    <w:p w:rsidRPr="00CF059F" w:rsidR="008619AF" w:rsidP="00FC314D" w:rsidRDefault="0056141C" w14:paraId="3CDA5BF2" w14:textId="2969B0EB">
      <w:pPr>
        <w:pStyle w:val="ListParagraph"/>
        <w:numPr>
          <w:ilvl w:val="1"/>
          <w:numId w:val="21"/>
        </w:numPr>
        <w:spacing w:before="100" w:beforeAutospacing="1" w:after="100" w:afterAutospacing="1" w:line="240" w:lineRule="auto"/>
        <w:outlineLvl w:val="2"/>
        <w:rPr>
          <w:rFonts w:ascii="Century Gothic" w:hAnsi="Century Gothic" w:cs="Times New Roman"/>
          <w:b/>
          <w:bCs/>
          <w:color w:val="000000"/>
          <w:kern w:val="0"/>
          <w:sz w:val="18"/>
          <w:szCs w:val="18"/>
          <w14:ligatures w14:val="none"/>
        </w:rPr>
      </w:pPr>
      <w:r w:rsidRPr="00CF059F">
        <w:rPr>
          <w:rFonts w:ascii="Century Gothic" w:hAnsi="Century Gothic" w:cs="Times New Roman"/>
          <w:b/>
          <w:bCs/>
          <w:color w:val="000000"/>
          <w:kern w:val="0"/>
          <w:sz w:val="18"/>
          <w:szCs w:val="18"/>
          <w14:ligatures w14:val="none"/>
        </w:rPr>
        <w:lastRenderedPageBreak/>
        <w:t>BUSINESS MODEL CANVASS</w:t>
      </w:r>
    </w:p>
    <w:p w:rsidR="00584191" w:rsidP="008433BF" w:rsidRDefault="008433BF" w14:paraId="1452E9B8" w14:textId="7534D46B">
      <w:pPr>
        <w:pStyle w:val="ListParagraph"/>
        <w:spacing w:before="100" w:beforeAutospacing="1" w:after="100" w:afterAutospacing="1" w:line="240" w:lineRule="auto"/>
        <w:outlineLvl w:val="2"/>
        <w:rPr>
          <w:rFonts w:ascii="Century Gothic" w:hAnsi="Century Gothic" w:cs="Times New Roman"/>
          <w:b/>
          <w:bCs/>
          <w:color w:val="000000"/>
          <w:kern w:val="0"/>
          <w:sz w:val="18"/>
          <w:szCs w:val="18"/>
          <w14:ligatures w14:val="none"/>
        </w:rPr>
      </w:pPr>
      <w:r>
        <w:rPr>
          <w:rFonts w:ascii="Century Gothic" w:hAnsi="Century Gothic" w:cs="Times New Roman"/>
          <w:b/>
          <w:bCs/>
          <w:color w:val="000000"/>
          <w:kern w:val="0"/>
          <w:sz w:val="18"/>
          <w:szCs w:val="18"/>
          <w14:ligatures w14:val="none"/>
        </w:rPr>
        <w:t>___________________________________________________________________________________________</w:t>
      </w:r>
    </w:p>
    <w:tbl>
      <w:tblPr>
        <w:tblStyle w:val="TableGrid"/>
        <w:tblpPr w:leftFromText="180" w:rightFromText="180" w:vertAnchor="text" w:horzAnchor="margin" w:tblpY="206"/>
        <w:tblW w:w="9067" w:type="dxa"/>
        <w:tblLook w:val="04A0" w:firstRow="1" w:lastRow="0" w:firstColumn="1" w:lastColumn="0" w:noHBand="0" w:noVBand="1"/>
      </w:tblPr>
      <w:tblGrid>
        <w:gridCol w:w="3114"/>
        <w:gridCol w:w="2835"/>
        <w:gridCol w:w="3118"/>
      </w:tblGrid>
      <w:tr w:rsidRPr="009D7383" w:rsidR="00534A5B" w:rsidTr="006763CB" w14:paraId="01FE4F0A" w14:textId="77777777">
        <w:tc>
          <w:tcPr>
            <w:tcW w:w="3114" w:type="dxa"/>
            <w:hideMark/>
          </w:tcPr>
          <w:p w:rsidRPr="009D7383" w:rsidR="00534A5B" w:rsidP="00534A5B" w:rsidRDefault="00534A5B" w14:paraId="2AC772DF"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Key Partners</w:t>
            </w:r>
          </w:p>
        </w:tc>
        <w:tc>
          <w:tcPr>
            <w:tcW w:w="2835" w:type="dxa"/>
            <w:hideMark/>
          </w:tcPr>
          <w:p w:rsidRPr="009D7383" w:rsidR="00534A5B" w:rsidP="00534A5B" w:rsidRDefault="00534A5B" w14:paraId="408EAA0E"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Key Activities</w:t>
            </w:r>
          </w:p>
        </w:tc>
        <w:tc>
          <w:tcPr>
            <w:tcW w:w="3118" w:type="dxa"/>
            <w:hideMark/>
          </w:tcPr>
          <w:p w:rsidRPr="009D7383" w:rsidR="00534A5B" w:rsidP="00534A5B" w:rsidRDefault="00534A5B" w14:paraId="3C1EBB25"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Key Resources</w:t>
            </w:r>
          </w:p>
        </w:tc>
      </w:tr>
      <w:tr w:rsidRPr="009D7383" w:rsidR="00534A5B" w:rsidTr="006763CB" w14:paraId="2ECE5949" w14:textId="77777777">
        <w:trPr>
          <w:trHeight w:val="1143"/>
        </w:trPr>
        <w:tc>
          <w:tcPr>
            <w:tcW w:w="3114" w:type="dxa"/>
            <w:hideMark/>
          </w:tcPr>
          <w:p w:rsidRPr="009D7383" w:rsidR="00534A5B" w:rsidP="00534A5B" w:rsidRDefault="00534A5B" w14:paraId="142AE8E2"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Bin manufacturers</w:t>
            </w:r>
          </w:p>
          <w:p w:rsidRPr="009D7383" w:rsidR="00534A5B" w:rsidP="00534A5B" w:rsidRDefault="00534A5B" w14:paraId="4D34ED0F"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Recycling companies</w:t>
            </w:r>
          </w:p>
          <w:p w:rsidRPr="009D7383" w:rsidR="00534A5B" w:rsidP="00534A5B" w:rsidRDefault="00534A5B" w14:paraId="027749D2"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Educational institutions</w:t>
            </w:r>
          </w:p>
          <w:p w:rsidRPr="009D7383" w:rsidR="00534A5B" w:rsidP="00534A5B" w:rsidRDefault="00534A5B" w14:paraId="3557A9F3"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Local governments</w:t>
            </w:r>
          </w:p>
          <w:p w:rsidRPr="009D7383" w:rsidR="00534A5B" w:rsidP="00534A5B" w:rsidRDefault="00534A5B" w14:paraId="7F1F8CA4"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Coupon partners (retail)</w:t>
            </w:r>
          </w:p>
        </w:tc>
        <w:tc>
          <w:tcPr>
            <w:tcW w:w="2835" w:type="dxa"/>
            <w:hideMark/>
          </w:tcPr>
          <w:p w:rsidRPr="009D7383" w:rsidR="00534A5B" w:rsidP="00534A5B" w:rsidRDefault="00534A5B" w14:paraId="78637DB7"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Develop bin technology</w:t>
            </w:r>
          </w:p>
          <w:p w:rsidRPr="009D7383" w:rsidR="00534A5B" w:rsidP="00534A5B" w:rsidRDefault="00534A5B" w14:paraId="1BDAC55A"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Maintain bin operations</w:t>
            </w:r>
          </w:p>
          <w:p w:rsidRPr="009D7383" w:rsidR="00534A5B" w:rsidP="00534A5B" w:rsidRDefault="00534A5B" w14:paraId="32D1C884"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Collaborate with universities</w:t>
            </w:r>
          </w:p>
          <w:p w:rsidRPr="009D7383" w:rsidR="00534A5B" w:rsidP="00534A5B" w:rsidRDefault="00534A5B" w14:paraId="350639FC"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Collect and analyze data</w:t>
            </w:r>
          </w:p>
          <w:p w:rsidRPr="009D7383" w:rsidR="00534A5B" w:rsidP="00534A5B" w:rsidRDefault="00534A5B" w14:paraId="4AEB3DB5"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Marketing and outreach</w:t>
            </w:r>
          </w:p>
        </w:tc>
        <w:tc>
          <w:tcPr>
            <w:tcW w:w="3118" w:type="dxa"/>
            <w:hideMark/>
          </w:tcPr>
          <w:p w:rsidRPr="009D7383" w:rsidR="00534A5B" w:rsidP="00534A5B" w:rsidRDefault="00534A5B" w14:paraId="3DAB1555"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Advanced vending technology</w:t>
            </w:r>
          </w:p>
          <w:p w:rsidRPr="009D7383" w:rsidR="00534A5B" w:rsidP="00534A5B" w:rsidRDefault="00534A5B" w14:paraId="675E29C7"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Relationships with universities</w:t>
            </w:r>
          </w:p>
          <w:p w:rsidRPr="009D7383" w:rsidR="00534A5B" w:rsidP="00534A5B" w:rsidRDefault="00534A5B" w14:paraId="2275B793"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Logistic framework for bin placement</w:t>
            </w:r>
          </w:p>
          <w:p w:rsidRPr="009D7383" w:rsidR="00534A5B" w:rsidP="00534A5B" w:rsidRDefault="00534A5B" w14:paraId="191034AF"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Coupon software systems</w:t>
            </w:r>
          </w:p>
          <w:p w:rsidRPr="009D7383" w:rsidR="00534A5B" w:rsidP="00534A5B" w:rsidRDefault="00534A5B" w14:paraId="1DC1CC7B"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Customer service team</w:t>
            </w:r>
          </w:p>
        </w:tc>
      </w:tr>
    </w:tbl>
    <w:tbl>
      <w:tblPr>
        <w:tblStyle w:val="TableGrid"/>
        <w:tblpPr w:leftFromText="180" w:rightFromText="180" w:vertAnchor="page" w:horzAnchor="margin" w:tblpY="4561"/>
        <w:tblW w:w="0" w:type="auto"/>
        <w:tblLook w:val="04A0" w:firstRow="1" w:lastRow="0" w:firstColumn="1" w:lastColumn="0" w:noHBand="0" w:noVBand="1"/>
      </w:tblPr>
      <w:tblGrid>
        <w:gridCol w:w="3135"/>
        <w:gridCol w:w="2866"/>
        <w:gridCol w:w="3015"/>
      </w:tblGrid>
      <w:tr w:rsidRPr="009D7383" w:rsidR="00861CD5" w:rsidTr="00687EAF" w14:paraId="165BC6F6" w14:textId="77777777">
        <w:tc>
          <w:tcPr>
            <w:tcW w:w="0" w:type="auto"/>
            <w:hideMark/>
          </w:tcPr>
          <w:p w:rsidRPr="009D7383" w:rsidR="008343C9" w:rsidP="00687EAF" w:rsidRDefault="008343C9" w14:paraId="71B8830A"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Customer Segments</w:t>
            </w:r>
          </w:p>
        </w:tc>
        <w:tc>
          <w:tcPr>
            <w:tcW w:w="0" w:type="auto"/>
            <w:hideMark/>
          </w:tcPr>
          <w:p w:rsidRPr="009D7383" w:rsidR="008343C9" w:rsidP="00687EAF" w:rsidRDefault="008343C9" w14:paraId="4E87F8A3"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Cost Structure</w:t>
            </w:r>
          </w:p>
        </w:tc>
        <w:tc>
          <w:tcPr>
            <w:tcW w:w="0" w:type="auto"/>
            <w:hideMark/>
          </w:tcPr>
          <w:p w:rsidRPr="009D7383" w:rsidR="008343C9" w:rsidP="00687EAF" w:rsidRDefault="008343C9" w14:paraId="515A7588"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Revenue Streams</w:t>
            </w:r>
          </w:p>
        </w:tc>
      </w:tr>
      <w:tr w:rsidRPr="009D7383" w:rsidR="00861CD5" w:rsidTr="00687EAF" w14:paraId="7FE1124D" w14:textId="77777777">
        <w:trPr>
          <w:trHeight w:val="1796"/>
        </w:trPr>
        <w:tc>
          <w:tcPr>
            <w:tcW w:w="0" w:type="auto"/>
            <w:hideMark/>
          </w:tcPr>
          <w:p w:rsidRPr="009D7383" w:rsidR="008343C9" w:rsidP="00687EAF" w:rsidRDefault="008343C9" w14:paraId="59EC9C10" w14:textId="11681276">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University</w:t>
            </w:r>
            <w:r w:rsidR="00CA47E6">
              <w:rPr>
                <w:rFonts w:ascii="Century Gothic" w:hAnsi="Century Gothic" w:eastAsia="Times New Roman" w:cs="Times New Roman"/>
                <w:kern w:val="0"/>
                <w:sz w:val="18"/>
                <w:szCs w:val="18"/>
                <w14:ligatures w14:val="none"/>
              </w:rPr>
              <w:t xml:space="preserve">, </w:t>
            </w:r>
            <w:r w:rsidR="00861CD5">
              <w:rPr>
                <w:rFonts w:ascii="Century Gothic" w:hAnsi="Century Gothic" w:eastAsia="Times New Roman" w:cs="Times New Roman"/>
                <w:kern w:val="0"/>
                <w:sz w:val="18"/>
                <w:szCs w:val="18"/>
                <w14:ligatures w14:val="none"/>
              </w:rPr>
              <w:t>High  and primary school</w:t>
            </w:r>
            <w:r w:rsidRPr="009D7383">
              <w:rPr>
                <w:rFonts w:ascii="Century Gothic" w:hAnsi="Century Gothic" w:eastAsia="Times New Roman" w:cs="Times New Roman"/>
                <w:kern w:val="0"/>
                <w:sz w:val="18"/>
                <w:szCs w:val="18"/>
                <w14:ligatures w14:val="none"/>
              </w:rPr>
              <w:t xml:space="preserve"> students</w:t>
            </w:r>
          </w:p>
          <w:p w:rsidRPr="009D7383" w:rsidR="008343C9" w:rsidP="00687EAF" w:rsidRDefault="008343C9" w14:paraId="652C03B4"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Educational institutions</w:t>
            </w:r>
          </w:p>
          <w:p w:rsidRPr="009D7383" w:rsidR="008343C9" w:rsidP="00687EAF" w:rsidRDefault="008343C9" w14:paraId="6496EDD3"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Environmentally conscious partners</w:t>
            </w:r>
          </w:p>
        </w:tc>
        <w:tc>
          <w:tcPr>
            <w:tcW w:w="0" w:type="auto"/>
            <w:hideMark/>
          </w:tcPr>
          <w:p w:rsidRPr="009D7383" w:rsidR="008343C9" w:rsidP="00687EAF" w:rsidRDefault="008343C9" w14:paraId="0D2EA4E7"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Manufacturing and installation of bins</w:t>
            </w:r>
          </w:p>
          <w:p w:rsidRPr="009D7383" w:rsidR="008343C9" w:rsidP="00687EAF" w:rsidRDefault="008343C9" w14:paraId="5178DEF3"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Maintenance and operational costs</w:t>
            </w:r>
          </w:p>
          <w:p w:rsidRPr="009D7383" w:rsidR="008343C9" w:rsidP="00687EAF" w:rsidRDefault="008343C9" w14:paraId="250DF07D"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Marketing and outreach expenses</w:t>
            </w:r>
          </w:p>
          <w:p w:rsidRPr="009D7383" w:rsidR="008343C9" w:rsidP="00687EAF" w:rsidRDefault="008343C9" w14:paraId="22CFA794"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Technology development and updates</w:t>
            </w:r>
          </w:p>
        </w:tc>
        <w:tc>
          <w:tcPr>
            <w:tcW w:w="0" w:type="auto"/>
            <w:hideMark/>
          </w:tcPr>
          <w:p w:rsidRPr="009D7383" w:rsidR="008343C9" w:rsidP="00687EAF" w:rsidRDefault="008343C9" w14:paraId="135CAD23"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Sponsorships from educational institutions</w:t>
            </w:r>
          </w:p>
          <w:p w:rsidRPr="009D7383" w:rsidR="008343C9" w:rsidP="00687EAF" w:rsidRDefault="008343C9" w14:paraId="656ADF6B"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Recycling revenue from materials collected</w:t>
            </w:r>
          </w:p>
          <w:p w:rsidRPr="009D7383" w:rsidR="008343C9" w:rsidP="00687EAF" w:rsidRDefault="008343C9" w14:paraId="500A058E"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Partnerships with coupon providers</w:t>
            </w:r>
          </w:p>
          <w:p w:rsidRPr="009D7383" w:rsidR="008343C9" w:rsidP="00687EAF" w:rsidRDefault="008343C9" w14:paraId="2B83F1D4"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Government grants and incentives</w:t>
            </w:r>
          </w:p>
        </w:tc>
      </w:tr>
    </w:tbl>
    <w:p w:rsidR="009D7383" w:rsidP="009D7383" w:rsidRDefault="009D7383" w14:paraId="6E8FB5CE" w14:textId="08B52D2B">
      <w:pPr>
        <w:spacing w:before="100" w:beforeAutospacing="1" w:after="100" w:afterAutospacing="1" w:line="240" w:lineRule="auto"/>
        <w:divId w:val="2121217389"/>
        <w:rPr>
          <w:rFonts w:ascii="-webkit-standard" w:hAnsi="-webkit-standard" w:cs="Times New Roman"/>
          <w:color w:val="000000"/>
          <w:kern w:val="0"/>
          <w14:ligatures w14:val="none"/>
        </w:rPr>
      </w:pPr>
    </w:p>
    <w:p w:rsidRPr="009D7383" w:rsidR="008343C9" w:rsidP="009D7383" w:rsidRDefault="008343C9" w14:paraId="169A9E2F" w14:textId="77777777">
      <w:pPr>
        <w:spacing w:before="100" w:beforeAutospacing="1" w:after="100" w:afterAutospacing="1" w:line="240" w:lineRule="auto"/>
        <w:divId w:val="2121217389"/>
        <w:rPr>
          <w:rFonts w:ascii="-webkit-standard" w:hAnsi="-webkit-standard" w:cs="Times New Roman"/>
          <w:color w:val="000000"/>
          <w:kern w:val="0"/>
          <w14:ligatures w14:val="none"/>
        </w:rPr>
      </w:pPr>
    </w:p>
    <w:tbl>
      <w:tblPr>
        <w:tblStyle w:val="TableGrid"/>
        <w:tblpPr w:leftFromText="180" w:rightFromText="180" w:vertAnchor="text" w:horzAnchor="margin" w:tblpY="168"/>
        <w:tblW w:w="0" w:type="auto"/>
        <w:tblLook w:val="04A0" w:firstRow="1" w:lastRow="0" w:firstColumn="1" w:lastColumn="0" w:noHBand="0" w:noVBand="1"/>
      </w:tblPr>
      <w:tblGrid>
        <w:gridCol w:w="3114"/>
        <w:gridCol w:w="2835"/>
        <w:gridCol w:w="3067"/>
      </w:tblGrid>
      <w:tr w:rsidRPr="009D7383" w:rsidR="00584191" w:rsidTr="006763CB" w14:paraId="5B623EC1" w14:textId="77777777">
        <w:tc>
          <w:tcPr>
            <w:tcW w:w="3114" w:type="dxa"/>
            <w:hideMark/>
          </w:tcPr>
          <w:p w:rsidRPr="009D7383" w:rsidR="00584191" w:rsidP="00584191" w:rsidRDefault="00584191" w14:paraId="2790C17E"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Value Propositions</w:t>
            </w:r>
          </w:p>
        </w:tc>
        <w:tc>
          <w:tcPr>
            <w:tcW w:w="2835" w:type="dxa"/>
            <w:hideMark/>
          </w:tcPr>
          <w:p w:rsidRPr="009D7383" w:rsidR="00584191" w:rsidP="00584191" w:rsidRDefault="00584191" w14:paraId="775BBED6"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Customer Relationships</w:t>
            </w:r>
          </w:p>
        </w:tc>
        <w:tc>
          <w:tcPr>
            <w:tcW w:w="3067" w:type="dxa"/>
            <w:hideMark/>
          </w:tcPr>
          <w:p w:rsidRPr="009D7383" w:rsidR="00584191" w:rsidP="00584191" w:rsidRDefault="00584191" w14:paraId="15B4FD33" w14:textId="77777777">
            <w:pPr>
              <w:jc w:val="center"/>
              <w:rPr>
                <w:rFonts w:ascii="Century Gothic" w:hAnsi="Century Gothic" w:eastAsia="Times New Roman" w:cs="Times New Roman"/>
                <w:b/>
                <w:bCs/>
                <w:kern w:val="0"/>
                <w:sz w:val="18"/>
                <w:szCs w:val="18"/>
                <w14:ligatures w14:val="none"/>
              </w:rPr>
            </w:pPr>
            <w:r w:rsidRPr="009D7383">
              <w:rPr>
                <w:rFonts w:ascii="Century Gothic" w:hAnsi="Century Gothic" w:eastAsia="Times New Roman" w:cs="Times New Roman"/>
                <w:b/>
                <w:bCs/>
                <w:kern w:val="0"/>
                <w:sz w:val="18"/>
                <w:szCs w:val="18"/>
                <w14:ligatures w14:val="none"/>
              </w:rPr>
              <w:t>Channels</w:t>
            </w:r>
          </w:p>
        </w:tc>
      </w:tr>
      <w:tr w:rsidRPr="009D7383" w:rsidR="00584191" w:rsidTr="006763CB" w14:paraId="688875FA" w14:textId="77777777">
        <w:trPr>
          <w:trHeight w:val="1555"/>
        </w:trPr>
        <w:tc>
          <w:tcPr>
            <w:tcW w:w="3114" w:type="dxa"/>
            <w:tcBorders>
              <w:bottom w:val="single" w:color="auto" w:sz="4" w:space="0"/>
            </w:tcBorders>
            <w:hideMark/>
          </w:tcPr>
          <w:p w:rsidRPr="009D7383" w:rsidR="00584191" w:rsidP="00584191" w:rsidRDefault="00584191" w14:paraId="630E58EA"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Incentivize recycling through bursary coupons</w:t>
            </w:r>
          </w:p>
          <w:p w:rsidRPr="009D7383" w:rsidR="00584191" w:rsidP="00584191" w:rsidRDefault="00584191" w14:paraId="3875EAF1"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Easy-to-use system with environmental benefits</w:t>
            </w:r>
          </w:p>
          <w:p w:rsidRPr="009D7383" w:rsidR="00584191" w:rsidP="00584191" w:rsidRDefault="00584191" w14:paraId="1EC2E28A"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Supports students financially</w:t>
            </w:r>
          </w:p>
          <w:p w:rsidRPr="009D7383" w:rsidR="00584191" w:rsidP="00584191" w:rsidRDefault="00584191" w14:paraId="35798A72"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Contributes to sustainability goals for schools</w:t>
            </w:r>
          </w:p>
        </w:tc>
        <w:tc>
          <w:tcPr>
            <w:tcW w:w="2835" w:type="dxa"/>
            <w:hideMark/>
          </w:tcPr>
          <w:p w:rsidRPr="009D7383" w:rsidR="00584191" w:rsidP="00584191" w:rsidRDefault="00584191" w14:paraId="12C107BE"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Support through online platforms</w:t>
            </w:r>
          </w:p>
          <w:p w:rsidRPr="009D7383" w:rsidR="00584191" w:rsidP="00584191" w:rsidRDefault="00584191" w14:paraId="1252ACB6"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Educational workshops &amp; seminars</w:t>
            </w:r>
          </w:p>
          <w:p w:rsidRPr="009D7383" w:rsidR="00584191" w:rsidP="00584191" w:rsidRDefault="00584191" w14:paraId="08B88DCC"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Engaged community support structure</w:t>
            </w:r>
          </w:p>
          <w:p w:rsidRPr="009D7383" w:rsidR="00584191" w:rsidP="00584191" w:rsidRDefault="00584191" w14:paraId="2B24901F" w14:textId="77777777">
            <w:pPr>
              <w:rPr>
                <w:rFonts w:ascii="Century Gothic" w:hAnsi="Century Gothic" w:eastAsia="Times New Roman" w:cs="Times New Roman"/>
                <w:kern w:val="0"/>
                <w:sz w:val="18"/>
                <w:szCs w:val="18"/>
                <w14:ligatures w14:val="none"/>
              </w:rPr>
            </w:pPr>
          </w:p>
        </w:tc>
        <w:tc>
          <w:tcPr>
            <w:tcW w:w="3067" w:type="dxa"/>
            <w:tcBorders>
              <w:bottom w:val="single" w:color="auto" w:sz="4" w:space="0"/>
            </w:tcBorders>
            <w:hideMark/>
          </w:tcPr>
          <w:p w:rsidRPr="009D7383" w:rsidR="00584191" w:rsidP="00584191" w:rsidRDefault="00584191" w14:paraId="34B9B3E7"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University campuses</w:t>
            </w:r>
          </w:p>
          <w:p w:rsidRPr="009D7383" w:rsidR="00584191" w:rsidP="00584191" w:rsidRDefault="00584191" w14:paraId="53377910"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Direct partnerships with institutions</w:t>
            </w:r>
          </w:p>
          <w:p w:rsidRPr="009D7383" w:rsidR="00584191" w:rsidP="00584191" w:rsidRDefault="00584191" w14:paraId="122C33FB"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Mobile app and website integration</w:t>
            </w:r>
          </w:p>
          <w:p w:rsidRPr="009D7383" w:rsidR="00584191" w:rsidP="00584191" w:rsidRDefault="00584191" w14:paraId="44D2DD81" w14:textId="77777777">
            <w:pPr>
              <w:rPr>
                <w:rFonts w:ascii="Century Gothic" w:hAnsi="Century Gothic" w:eastAsia="Times New Roman" w:cs="Times New Roman"/>
                <w:kern w:val="0"/>
                <w:sz w:val="18"/>
                <w:szCs w:val="18"/>
                <w14:ligatures w14:val="none"/>
              </w:rPr>
            </w:pPr>
            <w:r w:rsidRPr="009D7383">
              <w:rPr>
                <w:rFonts w:ascii="Century Gothic" w:hAnsi="Century Gothic" w:eastAsia="Times New Roman" w:cs="Times New Roman"/>
                <w:kern w:val="0"/>
                <w:sz w:val="18"/>
                <w:szCs w:val="18"/>
                <w14:ligatures w14:val="none"/>
              </w:rPr>
              <w:t>- Social media and digital marketing</w:t>
            </w:r>
          </w:p>
        </w:tc>
      </w:tr>
    </w:tbl>
    <w:p w:rsidRPr="009D7383" w:rsidR="009D7383" w:rsidP="009D7383" w:rsidRDefault="009D7383" w14:paraId="7CB06CFC" w14:textId="77777777">
      <w:pPr>
        <w:spacing w:after="0" w:line="240" w:lineRule="auto"/>
        <w:divId w:val="2121217389"/>
        <w:rPr>
          <w:rFonts w:ascii="Times New Roman" w:hAnsi="Times New Roman" w:eastAsia="Times New Roman" w:cs="Times New Roman"/>
          <w:vanish/>
          <w:kern w:val="0"/>
          <w14:ligatures w14:val="none"/>
        </w:rPr>
      </w:pPr>
    </w:p>
    <w:p w:rsidRPr="009D7383" w:rsidR="009D7383" w:rsidP="009D7383" w:rsidRDefault="009D7383" w14:paraId="5FF3B5BF" w14:textId="77777777">
      <w:pPr>
        <w:spacing w:after="0" w:line="240" w:lineRule="auto"/>
        <w:divId w:val="2121217389"/>
        <w:rPr>
          <w:rFonts w:ascii="Times New Roman" w:hAnsi="Times New Roman" w:eastAsia="Times New Roman" w:cs="Times New Roman"/>
          <w:vanish/>
          <w:kern w:val="0"/>
          <w14:ligatures w14:val="none"/>
        </w:rPr>
      </w:pPr>
    </w:p>
    <w:p w:rsidR="00534A5B" w:rsidP="009D7383" w:rsidRDefault="00534A5B" w14:paraId="335E64A2" w14:textId="77777777">
      <w:pPr>
        <w:spacing w:before="100" w:beforeAutospacing="1" w:after="100" w:afterAutospacing="1" w:line="240" w:lineRule="auto"/>
        <w:outlineLvl w:val="2"/>
        <w:divId w:val="2121217389"/>
        <w:rPr>
          <w:rFonts w:ascii="-webkit-standard" w:hAnsi="-webkit-standard" w:eastAsia="Times New Roman" w:cs="Times New Roman"/>
          <w:b/>
          <w:bCs/>
          <w:color w:val="000000"/>
          <w:kern w:val="0"/>
          <w:sz w:val="27"/>
          <w:szCs w:val="27"/>
          <w14:ligatures w14:val="none"/>
        </w:rPr>
      </w:pPr>
    </w:p>
    <w:p w:rsidR="00534A5B" w:rsidP="009D7383" w:rsidRDefault="00534A5B" w14:paraId="1A51C79D" w14:textId="77777777">
      <w:pPr>
        <w:spacing w:before="100" w:beforeAutospacing="1" w:after="100" w:afterAutospacing="1" w:line="240" w:lineRule="auto"/>
        <w:outlineLvl w:val="2"/>
        <w:divId w:val="2121217389"/>
        <w:rPr>
          <w:rFonts w:ascii="-webkit-standard" w:hAnsi="-webkit-standard" w:eastAsia="Times New Roman" w:cs="Times New Roman"/>
          <w:b/>
          <w:bCs/>
          <w:color w:val="000000"/>
          <w:kern w:val="0"/>
          <w:sz w:val="27"/>
          <w:szCs w:val="27"/>
          <w14:ligatures w14:val="none"/>
        </w:rPr>
      </w:pPr>
    </w:p>
    <w:p w:rsidR="00534A5B" w:rsidP="009D7383" w:rsidRDefault="00534A5B" w14:paraId="5ECB98CE" w14:textId="77777777">
      <w:pPr>
        <w:spacing w:before="100" w:beforeAutospacing="1" w:after="100" w:afterAutospacing="1" w:line="240" w:lineRule="auto"/>
        <w:outlineLvl w:val="2"/>
        <w:divId w:val="2121217389"/>
        <w:rPr>
          <w:rFonts w:ascii="-webkit-standard" w:hAnsi="-webkit-standard" w:eastAsia="Times New Roman" w:cs="Times New Roman"/>
          <w:b/>
          <w:bCs/>
          <w:color w:val="000000"/>
          <w:kern w:val="0"/>
          <w:sz w:val="27"/>
          <w:szCs w:val="27"/>
          <w14:ligatures w14:val="none"/>
        </w:rPr>
      </w:pPr>
    </w:p>
    <w:p w:rsidR="00534A5B" w:rsidP="009D7383" w:rsidRDefault="00534A5B" w14:paraId="218F734A" w14:textId="77777777">
      <w:pPr>
        <w:spacing w:before="100" w:beforeAutospacing="1" w:after="100" w:afterAutospacing="1" w:line="240" w:lineRule="auto"/>
        <w:outlineLvl w:val="2"/>
        <w:divId w:val="2121217389"/>
        <w:rPr>
          <w:rFonts w:ascii="-webkit-standard" w:hAnsi="-webkit-standard" w:eastAsia="Times New Roman" w:cs="Times New Roman"/>
          <w:b/>
          <w:bCs/>
          <w:color w:val="000000"/>
          <w:kern w:val="0"/>
          <w:sz w:val="27"/>
          <w:szCs w:val="27"/>
          <w14:ligatures w14:val="none"/>
        </w:rPr>
      </w:pPr>
    </w:p>
    <w:p w:rsidR="00534A5B" w:rsidP="009D7383" w:rsidRDefault="00534A5B" w14:paraId="0DCC93D9" w14:textId="77777777">
      <w:pPr>
        <w:spacing w:before="100" w:beforeAutospacing="1" w:after="100" w:afterAutospacing="1" w:line="240" w:lineRule="auto"/>
        <w:outlineLvl w:val="2"/>
        <w:divId w:val="2121217389"/>
        <w:rPr>
          <w:rFonts w:ascii="-webkit-standard" w:hAnsi="-webkit-standard" w:eastAsia="Times New Roman" w:cs="Times New Roman"/>
          <w:b/>
          <w:bCs/>
          <w:color w:val="000000"/>
          <w:kern w:val="0"/>
          <w:sz w:val="27"/>
          <w:szCs w:val="27"/>
          <w14:ligatures w14:val="none"/>
        </w:rPr>
      </w:pPr>
    </w:p>
    <w:p w:rsidR="00534A5B" w:rsidP="009D7383" w:rsidRDefault="00534A5B" w14:paraId="3F608451" w14:textId="77777777">
      <w:pPr>
        <w:spacing w:before="100" w:beforeAutospacing="1" w:after="100" w:afterAutospacing="1" w:line="240" w:lineRule="auto"/>
        <w:outlineLvl w:val="2"/>
        <w:divId w:val="2121217389"/>
        <w:rPr>
          <w:rFonts w:ascii="-webkit-standard" w:hAnsi="-webkit-standard" w:eastAsia="Times New Roman" w:cs="Times New Roman"/>
          <w:b/>
          <w:bCs/>
          <w:color w:val="000000"/>
          <w:kern w:val="0"/>
          <w:sz w:val="27"/>
          <w:szCs w:val="27"/>
          <w14:ligatures w14:val="none"/>
        </w:rPr>
      </w:pPr>
    </w:p>
    <w:p w:rsidRPr="009D7383" w:rsidR="009D7383" w:rsidP="009D7383" w:rsidRDefault="009D7383" w14:paraId="0BA3B59D" w14:textId="3885F8ED">
      <w:pPr>
        <w:spacing w:before="100" w:beforeAutospacing="1" w:after="100" w:afterAutospacing="1" w:line="240" w:lineRule="auto"/>
        <w:divId w:val="2121217389"/>
        <w:rPr>
          <w:rFonts w:ascii="-webkit-standard" w:hAnsi="-webkit-standard" w:cs="Times New Roman"/>
          <w:color w:val="000000"/>
          <w:kern w:val="0"/>
          <w14:ligatures w14:val="none"/>
        </w:rPr>
      </w:pPr>
    </w:p>
    <w:p w:rsidRPr="0056141C" w:rsidR="009D7383" w:rsidP="009D7383" w:rsidRDefault="009D7383" w14:paraId="15E87966" w14:textId="77777777">
      <w:pPr>
        <w:pStyle w:val="ListParagraph"/>
        <w:spacing w:before="100" w:beforeAutospacing="1" w:after="100" w:afterAutospacing="1" w:line="240" w:lineRule="auto"/>
        <w:outlineLvl w:val="2"/>
        <w:rPr>
          <w:rFonts w:ascii="Century Gothic" w:hAnsi="Century Gothic" w:cs="Times New Roman"/>
          <w:b/>
          <w:bCs/>
          <w:color w:val="000000"/>
          <w:kern w:val="0"/>
          <w:sz w:val="18"/>
          <w:szCs w:val="18"/>
          <w14:ligatures w14:val="none"/>
        </w:rPr>
      </w:pPr>
    </w:p>
    <w:p w:rsidR="008619AF" w:rsidP="00AA2532" w:rsidRDefault="008619AF" w14:paraId="27CA5B78" w14:textId="77777777">
      <w:pPr>
        <w:spacing w:before="100" w:beforeAutospacing="1" w:after="100" w:afterAutospacing="1" w:line="240" w:lineRule="auto"/>
        <w:outlineLvl w:val="2"/>
        <w:rPr>
          <w:rFonts w:ascii="Century Gothic" w:hAnsi="Century Gothic" w:cs="Times New Roman"/>
          <w:color w:val="000000"/>
          <w:kern w:val="0"/>
          <w:sz w:val="18"/>
          <w:szCs w:val="18"/>
          <w14:ligatures w14:val="none"/>
        </w:rPr>
      </w:pPr>
    </w:p>
    <w:p w:rsidRPr="008356F2" w:rsidR="008619AF" w:rsidP="00AA2532" w:rsidRDefault="008619AF" w14:paraId="0D75D0BD" w14:textId="77777777">
      <w:pPr>
        <w:spacing w:before="100" w:beforeAutospacing="1" w:after="100" w:afterAutospacing="1" w:line="240" w:lineRule="auto"/>
        <w:outlineLvl w:val="2"/>
        <w:rPr>
          <w:rFonts w:ascii="Century Gothic" w:hAnsi="Century Gothic" w:cs="Times New Roman"/>
          <w:color w:val="000000"/>
          <w:kern w:val="0"/>
          <w:sz w:val="18"/>
          <w:szCs w:val="18"/>
          <w14:ligatures w14:val="none"/>
        </w:rPr>
      </w:pPr>
    </w:p>
    <w:p w:rsidRPr="008356F2" w:rsidR="008356F2" w:rsidP="008356F2" w:rsidRDefault="008356F2" w14:paraId="23F754BB" w14:textId="77777777">
      <w:pPr>
        <w:spacing w:after="0" w:line="240" w:lineRule="auto"/>
        <w:rPr>
          <w:rFonts w:ascii="Century Gothic" w:hAnsi="Century Gothic" w:eastAsia="Times New Roman" w:cs="Times New Roman"/>
          <w:kern w:val="0"/>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7553FDCA" wp14:editId="323C249F">
                <wp:extent cx="5731510" cy="1270"/>
                <wp:effectExtent l="0" t="31750" r="0" b="36830"/>
                <wp:docPr id="1673309921"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3"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2A92EFA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8356F2" w:rsidR="008356F2" w:rsidP="008356F2" w:rsidRDefault="008356F2" w14:paraId="627A4041" w14:textId="77777777">
      <w:pPr>
        <w:spacing w:before="100" w:beforeAutospacing="1" w:after="100" w:afterAutospacing="1" w:line="240" w:lineRule="auto"/>
        <w:outlineLvl w:val="1"/>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lastRenderedPageBreak/>
        <w:t>7. Appendices</w:t>
      </w:r>
    </w:p>
    <w:p w:rsidRPr="008356F2" w:rsidR="008356F2" w:rsidP="008356F2" w:rsidRDefault="008356F2" w14:paraId="06FFF1E8" w14:textId="77777777">
      <w:pPr>
        <w:numPr>
          <w:ilvl w:val="0"/>
          <w:numId w:val="10"/>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Appendix A</w:t>
      </w:r>
      <w:r w:rsidRPr="008356F2">
        <w:rPr>
          <w:rFonts w:ascii="Century Gothic" w:hAnsi="Century Gothic" w:eastAsia="Times New Roman" w:cs="Times New Roman"/>
          <w:color w:val="000000"/>
          <w:kern w:val="0"/>
          <w:sz w:val="18"/>
          <w:szCs w:val="18"/>
          <w14:ligatures w14:val="none"/>
        </w:rPr>
        <w:t>: Technical Specifications of RVSB Components</w:t>
      </w:r>
    </w:p>
    <w:p w:rsidRPr="008356F2" w:rsidR="008356F2" w:rsidP="008356F2" w:rsidRDefault="008356F2" w14:paraId="23F0012A" w14:textId="77777777">
      <w:pPr>
        <w:numPr>
          <w:ilvl w:val="0"/>
          <w:numId w:val="10"/>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Appendix B</w:t>
      </w:r>
      <w:r w:rsidRPr="008356F2">
        <w:rPr>
          <w:rFonts w:ascii="Century Gothic" w:hAnsi="Century Gothic" w:eastAsia="Times New Roman" w:cs="Times New Roman"/>
          <w:color w:val="000000"/>
          <w:kern w:val="0"/>
          <w:sz w:val="18"/>
          <w:szCs w:val="18"/>
          <w14:ligatures w14:val="none"/>
        </w:rPr>
        <w:t>: Detailed Budget and Cost Analysis</w:t>
      </w:r>
    </w:p>
    <w:p w:rsidRPr="008356F2" w:rsidR="008356F2" w:rsidP="008356F2" w:rsidRDefault="008356F2" w14:paraId="49695E5B" w14:textId="77777777">
      <w:pPr>
        <w:numPr>
          <w:ilvl w:val="0"/>
          <w:numId w:val="10"/>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Appendix C</w:t>
      </w:r>
      <w:r w:rsidRPr="008356F2">
        <w:rPr>
          <w:rFonts w:ascii="Century Gothic" w:hAnsi="Century Gothic" w:eastAsia="Times New Roman" w:cs="Times New Roman"/>
          <w:color w:val="000000"/>
          <w:kern w:val="0"/>
          <w:sz w:val="18"/>
          <w:szCs w:val="18"/>
          <w14:ligatures w14:val="none"/>
        </w:rPr>
        <w:t>: Environmental Impact Assessment Reports</w:t>
      </w:r>
    </w:p>
    <w:p w:rsidRPr="008356F2" w:rsidR="008356F2" w:rsidP="008356F2" w:rsidRDefault="008356F2" w14:paraId="6A55A871" w14:textId="77777777">
      <w:pPr>
        <w:numPr>
          <w:ilvl w:val="0"/>
          <w:numId w:val="10"/>
        </w:numPr>
        <w:spacing w:before="100" w:beforeAutospacing="1" w:after="100" w:afterAutospacing="1" w:line="240" w:lineRule="auto"/>
        <w:rPr>
          <w:rFonts w:ascii="Century Gothic" w:hAnsi="Century Gothic" w:eastAsia="Times New Roman" w:cs="Times New Roman"/>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Appendix D</w:t>
      </w:r>
      <w:r w:rsidRPr="008356F2">
        <w:rPr>
          <w:rFonts w:ascii="Century Gothic" w:hAnsi="Century Gothic" w:eastAsia="Times New Roman" w:cs="Times New Roman"/>
          <w:color w:val="000000"/>
          <w:kern w:val="0"/>
          <w:sz w:val="18"/>
          <w:szCs w:val="18"/>
          <w14:ligatures w14:val="none"/>
        </w:rPr>
        <w:t>: Templates for Contracts with Educational Institutions</w:t>
      </w:r>
    </w:p>
    <w:p w:rsidRPr="008356F2" w:rsidR="008356F2" w:rsidP="008356F2" w:rsidRDefault="008356F2" w14:paraId="732BD9A7" w14:textId="77777777">
      <w:pPr>
        <w:spacing w:after="0" w:line="240" w:lineRule="auto"/>
        <w:rPr>
          <w:rFonts w:ascii="Century Gothic" w:hAnsi="Century Gothic" w:eastAsia="Times New Roman" w:cs="Times New Roman"/>
          <w:kern w:val="0"/>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4855B35D" wp14:editId="1ACEDB31">
                <wp:extent cx="5731510" cy="1270"/>
                <wp:effectExtent l="0" t="31750" r="0" b="36830"/>
                <wp:docPr id="473829308"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2"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296E0A2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8356F2" w:rsidR="008356F2" w:rsidP="008356F2" w:rsidRDefault="008356F2" w14:paraId="7449DD5E" w14:textId="77777777">
      <w:pPr>
        <w:spacing w:before="100" w:beforeAutospacing="1" w:after="100" w:afterAutospacing="1" w:line="240" w:lineRule="auto"/>
        <w:outlineLvl w:val="1"/>
        <w:rPr>
          <w:rFonts w:ascii="Century Gothic" w:hAnsi="Century Gothic" w:eastAsia="Times New Roman" w:cs="Times New Roman"/>
          <w:b/>
          <w:bCs/>
          <w:color w:val="000000"/>
          <w:kern w:val="0"/>
          <w:sz w:val="18"/>
          <w:szCs w:val="18"/>
          <w14:ligatures w14:val="none"/>
        </w:rPr>
      </w:pPr>
      <w:r w:rsidRPr="008356F2">
        <w:rPr>
          <w:rFonts w:ascii="Century Gothic" w:hAnsi="Century Gothic" w:eastAsia="Times New Roman" w:cs="Times New Roman"/>
          <w:b/>
          <w:bCs/>
          <w:color w:val="000000"/>
          <w:kern w:val="0"/>
          <w:sz w:val="18"/>
          <w:szCs w:val="18"/>
          <w14:ligatures w14:val="none"/>
        </w:rPr>
        <w:t>8. References</w:t>
      </w:r>
    </w:p>
    <w:p w:rsidRPr="008356F2" w:rsidR="008356F2" w:rsidP="008356F2" w:rsidRDefault="008356F2" w14:paraId="50BE492C" w14:textId="77777777">
      <w:pPr>
        <w:spacing w:before="100" w:beforeAutospacing="1" w:after="100" w:afterAutospacing="1" w:line="240" w:lineRule="auto"/>
        <w:rPr>
          <w:rFonts w:ascii="Century Gothic" w:hAnsi="Century Gothic" w:cs="Times New Roman"/>
          <w:color w:val="000000"/>
          <w:kern w:val="0"/>
          <w:sz w:val="18"/>
          <w:szCs w:val="18"/>
          <w14:ligatures w14:val="none"/>
        </w:rPr>
      </w:pPr>
      <w:r w:rsidRPr="008356F2">
        <w:rPr>
          <w:rFonts w:ascii="Century Gothic" w:hAnsi="Century Gothic" w:cs="Times New Roman"/>
          <w:color w:val="000000"/>
          <w:kern w:val="0"/>
          <w:sz w:val="18"/>
          <w:szCs w:val="18"/>
          <w14:ligatures w14:val="none"/>
        </w:rPr>
        <w:t>[List scholarly articles, industry reports, and technical documents that support analysis and decision-making in this paper.]</w:t>
      </w:r>
    </w:p>
    <w:p w:rsidRPr="008356F2" w:rsidR="008356F2" w:rsidP="008356F2" w:rsidRDefault="008356F2" w14:paraId="2F09F7B9" w14:textId="77777777">
      <w:pPr>
        <w:spacing w:after="0" w:line="240" w:lineRule="auto"/>
        <w:rPr>
          <w:rFonts w:ascii="Century Gothic" w:hAnsi="Century Gothic" w:eastAsia="Times New Roman" w:cs="Times New Roman"/>
          <w:kern w:val="0"/>
          <w:sz w:val="18"/>
          <w:szCs w:val="18"/>
          <w14:ligatures w14:val="none"/>
        </w:rPr>
      </w:pPr>
      <w:r w:rsidRPr="008356F2">
        <w:rPr>
          <w:rFonts w:ascii="Century Gothic" w:hAnsi="Century Gothic" w:eastAsia="Times New Roman" w:cs="Times New Roman"/>
          <w:noProof/>
          <w:kern w:val="0"/>
          <w:sz w:val="18"/>
          <w:szCs w:val="18"/>
          <w14:ligatures w14:val="none"/>
        </w:rPr>
        <mc:AlternateContent>
          <mc:Choice Requires="wps">
            <w:drawing>
              <wp:inline distT="0" distB="0" distL="0" distR="0" wp14:anchorId="0CBBA991" wp14:editId="1664CD16">
                <wp:extent cx="5731510" cy="1270"/>
                <wp:effectExtent l="0" t="31750" r="0" b="36830"/>
                <wp:docPr id="1908416912"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id="Rectangle 1" style="width:451.3pt;height:.1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5C17CF4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w10:anchorlock/>
              </v:rect>
            </w:pict>
          </mc:Fallback>
        </mc:AlternateContent>
      </w:r>
    </w:p>
    <w:p w:rsidRPr="008356F2" w:rsidR="008356F2" w:rsidP="008356F2" w:rsidRDefault="008356F2" w14:paraId="2C714CC6" w14:textId="77777777">
      <w:pPr>
        <w:spacing w:before="100" w:beforeAutospacing="1" w:after="100" w:afterAutospacing="1" w:line="240" w:lineRule="auto"/>
        <w:rPr>
          <w:rFonts w:ascii="Century Gothic" w:hAnsi="Century Gothic" w:cs="Times New Roman"/>
          <w:color w:val="000000"/>
          <w:kern w:val="0"/>
          <w:sz w:val="18"/>
          <w:szCs w:val="18"/>
          <w14:ligatures w14:val="none"/>
        </w:rPr>
      </w:pPr>
      <w:r w:rsidRPr="008356F2">
        <w:rPr>
          <w:rFonts w:ascii="Century Gothic" w:hAnsi="Century Gothic" w:cs="Times New Roman"/>
          <w:color w:val="000000"/>
          <w:kern w:val="0"/>
          <w:sz w:val="18"/>
          <w:szCs w:val="18"/>
          <w14:ligatures w14:val="none"/>
        </w:rPr>
        <w:t>This white paper outlines the potential of smart recycling systems in creating a sustainable future while contributing positively to society. By marrying advanced technology with everyday solutions, the proposal seeks to lead a shift towards comprehensive environmental and community welfare.</w:t>
      </w:r>
    </w:p>
    <w:p w:rsidRPr="00C017B9" w:rsidR="008356F2" w:rsidRDefault="008356F2" w14:paraId="1EC8F7CF" w14:textId="77777777">
      <w:pPr>
        <w:rPr>
          <w:rFonts w:ascii="Century Gothic" w:hAnsi="Century Gothic"/>
          <w:sz w:val="18"/>
          <w:szCs w:val="18"/>
        </w:rPr>
      </w:pPr>
    </w:p>
    <w:sectPr w:rsidRPr="00C017B9" w:rsidR="008356F2">
      <w:headerReference w:type="default" r:id="rId7"/>
      <w:pgSz w:w="11906" w:h="16838" w:orient="portrait"/>
      <w:pgMar w:top="1440" w:right="1440" w:bottom="1440" w:left="1440" w:header="708" w:footer="708" w:gutter="0"/>
      <w:cols w:space="708"/>
      <w:docGrid w:linePitch="360"/>
      <w:footerReference w:type="default" r:id="R72a9751e04d84cb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6120" w:rsidP="006F2179" w:rsidRDefault="008E6120" w14:paraId="088F9047" w14:textId="77777777">
      <w:pPr>
        <w:spacing w:after="0" w:line="240" w:lineRule="auto"/>
      </w:pPr>
      <w:r>
        <w:separator/>
      </w:r>
    </w:p>
  </w:endnote>
  <w:endnote w:type="continuationSeparator" w:id="0">
    <w:p w:rsidR="008E6120" w:rsidP="006F2179" w:rsidRDefault="008E6120" w14:paraId="0D9E099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webkit-standard">
    <w:altName w:val="Cambria"/>
    <w:panose1 w:val="020B0604020202020204"/>
    <w:charset w:val="00"/>
    <w:family w:val="roman"/>
    <w:pitch w:val="default"/>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808EEE0" w:rsidTr="1808EEE0" w14:paraId="2C9A4E14">
      <w:trPr>
        <w:trHeight w:val="300"/>
      </w:trPr>
      <w:tc>
        <w:tcPr>
          <w:tcW w:w="3005" w:type="dxa"/>
          <w:tcMar/>
        </w:tcPr>
        <w:p w:rsidR="1808EEE0" w:rsidP="1808EEE0" w:rsidRDefault="1808EEE0" w14:paraId="254672E4" w14:textId="12AC050C">
          <w:pPr>
            <w:pStyle w:val="Header"/>
            <w:bidi w:val="0"/>
            <w:ind w:left="-115"/>
            <w:jc w:val="left"/>
          </w:pPr>
        </w:p>
      </w:tc>
      <w:tc>
        <w:tcPr>
          <w:tcW w:w="3005" w:type="dxa"/>
          <w:tcMar/>
        </w:tcPr>
        <w:p w:rsidR="1808EEE0" w:rsidP="1808EEE0" w:rsidRDefault="1808EEE0" w14:paraId="3C238DD9" w14:textId="1B6E0CCC">
          <w:pPr>
            <w:pStyle w:val="Header"/>
            <w:bidi w:val="0"/>
            <w:jc w:val="center"/>
          </w:pPr>
        </w:p>
      </w:tc>
      <w:tc>
        <w:tcPr>
          <w:tcW w:w="3005" w:type="dxa"/>
          <w:tcMar/>
        </w:tcPr>
        <w:p w:rsidR="1808EEE0" w:rsidP="1808EEE0" w:rsidRDefault="1808EEE0" w14:paraId="3176C24D" w14:textId="1E2D6848">
          <w:pPr>
            <w:pStyle w:val="Header"/>
            <w:bidi w:val="0"/>
            <w:ind w:right="-115"/>
            <w:jc w:val="right"/>
          </w:pPr>
        </w:p>
      </w:tc>
    </w:tr>
  </w:tbl>
  <w:p w:rsidR="1808EEE0" w:rsidP="1808EEE0" w:rsidRDefault="1808EEE0" w14:paraId="2F1F6B30" w14:textId="7641FFFF">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6120" w:rsidP="006F2179" w:rsidRDefault="008E6120" w14:paraId="52D82AAC" w14:textId="77777777">
      <w:pPr>
        <w:spacing w:after="0" w:line="240" w:lineRule="auto"/>
      </w:pPr>
      <w:r>
        <w:separator/>
      </w:r>
    </w:p>
  </w:footnote>
  <w:footnote w:type="continuationSeparator" w:id="0">
    <w:p w:rsidR="008E6120" w:rsidP="006F2179" w:rsidRDefault="008E6120" w14:paraId="2E70E6B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064C4" w:rsidP="00543088" w:rsidRDefault="00F064C4" w14:paraId="406B8C48" w14:textId="62174B09">
    <w:pPr>
      <w:pStyle w:val="Header"/>
      <w:jc w:val="center"/>
    </w:pPr>
    <w:r>
      <w:rPr>
        <w:rFonts w:ascii="Century Gothic" w:hAnsi="Century Gothic" w:eastAsia="Times New Roman" w:cs="Times New Roman"/>
        <w:b/>
        <w:bCs/>
        <w:noProof/>
        <w:color w:val="000000"/>
        <w:kern w:val="36"/>
        <w:sz w:val="18"/>
        <w:szCs w:val="18"/>
      </w:rPr>
      <w:drawing>
        <wp:anchor distT="0" distB="0" distL="114300" distR="114300" simplePos="0" relativeHeight="251659264" behindDoc="0" locked="0" layoutInCell="1" allowOverlap="1" wp14:anchorId="50D083C4" wp14:editId="6B853B0C">
          <wp:simplePos x="0" y="0"/>
          <wp:positionH relativeFrom="column">
            <wp:posOffset>6057900</wp:posOffset>
          </wp:positionH>
          <wp:positionV relativeFrom="paragraph">
            <wp:posOffset>189865</wp:posOffset>
          </wp:positionV>
          <wp:extent cx="571500" cy="571500"/>
          <wp:effectExtent l="0" t="0" r="0" b="0"/>
          <wp:wrapTopAndBottom/>
          <wp:docPr id="15786130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613058" name="Picture 1578613058"/>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14:sizeRelH relativeFrom="margin">
            <wp14:pctWidth>0</wp14:pctWidth>
          </wp14:sizeRelH>
          <wp14:sizeRelV relativeFrom="margin">
            <wp14:pctHeight>0</wp14:pctHeight>
          </wp14:sizeRelV>
        </wp:anchor>
      </w:drawing>
    </w:r>
  </w:p>
  <w:p w:rsidR="00F064C4" w:rsidRDefault="00F064C4" w14:paraId="62E7F56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594"/>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FE1AC8"/>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13460"/>
    <w:multiLevelType w:val="hybridMultilevel"/>
    <w:tmpl w:val="FC04D2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F01E72"/>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2E3364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2D7C8E"/>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1FB237B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34546B8"/>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64D182B"/>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7D5CCA"/>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1122C51"/>
    <w:multiLevelType w:val="multilevel"/>
    <w:tmpl w:val="532C4710"/>
    <w:lvl w:ilvl="0">
      <w:start w:val="1"/>
      <w:numFmt w:val="bullet"/>
      <w:lvlText w:val=""/>
      <w:lvlJc w:val="left"/>
      <w:pPr>
        <w:tabs>
          <w:tab w:val="num" w:pos="720"/>
        </w:tabs>
        <w:ind w:left="720" w:hanging="360"/>
      </w:pPr>
      <w:rPr>
        <w:rFonts w:hint="default" w:ascii="Symbol" w:hAnsi="Symbol"/>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4CF22F1"/>
    <w:multiLevelType w:val="hybridMultilevel"/>
    <w:tmpl w:val="3E0CAB9C"/>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C8028C"/>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CB231C4"/>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489F3EF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5A44552"/>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57AD3EDD"/>
    <w:multiLevelType w:val="hybridMultilevel"/>
    <w:tmpl w:val="4A1A48B4"/>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C213088"/>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1C936C8"/>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67F436A5"/>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6E87746F"/>
    <w:multiLevelType w:val="hybridMultilevel"/>
    <w:tmpl w:val="C71857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790B2F"/>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71CA327B"/>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72865E00"/>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76DA6563"/>
    <w:multiLevelType w:val="multilevel"/>
    <w:tmpl w:val="FFFFFFFF"/>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516037938">
    <w:abstractNumId w:val="19"/>
  </w:num>
  <w:num w:numId="2" w16cid:durableId="1120612695">
    <w:abstractNumId w:val="14"/>
  </w:num>
  <w:num w:numId="3" w16cid:durableId="1180393767">
    <w:abstractNumId w:val="0"/>
  </w:num>
  <w:num w:numId="4" w16cid:durableId="1300957114">
    <w:abstractNumId w:val="21"/>
  </w:num>
  <w:num w:numId="5" w16cid:durableId="1093697321">
    <w:abstractNumId w:val="3"/>
  </w:num>
  <w:num w:numId="6" w16cid:durableId="1315141352">
    <w:abstractNumId w:val="7"/>
  </w:num>
  <w:num w:numId="7" w16cid:durableId="1505168125">
    <w:abstractNumId w:val="22"/>
  </w:num>
  <w:num w:numId="8" w16cid:durableId="219437131">
    <w:abstractNumId w:val="9"/>
  </w:num>
  <w:num w:numId="9" w16cid:durableId="1812290875">
    <w:abstractNumId w:val="23"/>
  </w:num>
  <w:num w:numId="10" w16cid:durableId="1227960161">
    <w:abstractNumId w:val="18"/>
  </w:num>
  <w:num w:numId="11" w16cid:durableId="1525168888">
    <w:abstractNumId w:val="2"/>
  </w:num>
  <w:num w:numId="12" w16cid:durableId="703218225">
    <w:abstractNumId w:val="1"/>
  </w:num>
  <w:num w:numId="13" w16cid:durableId="687176561">
    <w:abstractNumId w:val="4"/>
  </w:num>
  <w:num w:numId="14" w16cid:durableId="278294620">
    <w:abstractNumId w:val="6"/>
  </w:num>
  <w:num w:numId="15" w16cid:durableId="500316526">
    <w:abstractNumId w:val="15"/>
  </w:num>
  <w:num w:numId="16" w16cid:durableId="1096094192">
    <w:abstractNumId w:val="24"/>
  </w:num>
  <w:num w:numId="17" w16cid:durableId="415320310">
    <w:abstractNumId w:val="17"/>
  </w:num>
  <w:num w:numId="18" w16cid:durableId="1696153714">
    <w:abstractNumId w:val="12"/>
  </w:num>
  <w:num w:numId="19" w16cid:durableId="879047520">
    <w:abstractNumId w:val="5"/>
  </w:num>
  <w:num w:numId="20" w16cid:durableId="1578520422">
    <w:abstractNumId w:val="8"/>
  </w:num>
  <w:num w:numId="21" w16cid:durableId="1785074133">
    <w:abstractNumId w:val="10"/>
  </w:num>
  <w:num w:numId="22" w16cid:durableId="662201042">
    <w:abstractNumId w:val="20"/>
  </w:num>
  <w:num w:numId="23" w16cid:durableId="1684355539">
    <w:abstractNumId w:val="16"/>
  </w:num>
  <w:num w:numId="24" w16cid:durableId="1015419401">
    <w:abstractNumId w:val="11"/>
  </w:num>
  <w:num w:numId="25" w16cid:durableId="151043830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proofState w:spelling="clean" w:grammar="dirty"/>
  <w:trackRevisions w:val="fal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2"/>
    <w:rsid w:val="0003340B"/>
    <w:rsid w:val="00091296"/>
    <w:rsid w:val="00100EB0"/>
    <w:rsid w:val="0012754C"/>
    <w:rsid w:val="00154BC8"/>
    <w:rsid w:val="00273BF0"/>
    <w:rsid w:val="00284F19"/>
    <w:rsid w:val="00286EE2"/>
    <w:rsid w:val="002A15B9"/>
    <w:rsid w:val="002A5B2E"/>
    <w:rsid w:val="0034545D"/>
    <w:rsid w:val="00357F51"/>
    <w:rsid w:val="00384355"/>
    <w:rsid w:val="003C3B6D"/>
    <w:rsid w:val="003C4CC2"/>
    <w:rsid w:val="003D393B"/>
    <w:rsid w:val="004B15FB"/>
    <w:rsid w:val="004F73AF"/>
    <w:rsid w:val="00510F2A"/>
    <w:rsid w:val="00515C73"/>
    <w:rsid w:val="00534A5B"/>
    <w:rsid w:val="00536352"/>
    <w:rsid w:val="00543088"/>
    <w:rsid w:val="005448A5"/>
    <w:rsid w:val="00552520"/>
    <w:rsid w:val="0056141C"/>
    <w:rsid w:val="00584191"/>
    <w:rsid w:val="00593CF3"/>
    <w:rsid w:val="0059584A"/>
    <w:rsid w:val="005B4292"/>
    <w:rsid w:val="005D20B3"/>
    <w:rsid w:val="00614FFA"/>
    <w:rsid w:val="00663A04"/>
    <w:rsid w:val="0067494A"/>
    <w:rsid w:val="006763CB"/>
    <w:rsid w:val="00687EAF"/>
    <w:rsid w:val="006C768F"/>
    <w:rsid w:val="006F2179"/>
    <w:rsid w:val="0071630E"/>
    <w:rsid w:val="007302B7"/>
    <w:rsid w:val="007473D7"/>
    <w:rsid w:val="007619C6"/>
    <w:rsid w:val="00767DE8"/>
    <w:rsid w:val="00781B23"/>
    <w:rsid w:val="007B178E"/>
    <w:rsid w:val="007B5122"/>
    <w:rsid w:val="0080755C"/>
    <w:rsid w:val="008343C9"/>
    <w:rsid w:val="008356F2"/>
    <w:rsid w:val="00837BA0"/>
    <w:rsid w:val="008433BF"/>
    <w:rsid w:val="008619AF"/>
    <w:rsid w:val="00861CD5"/>
    <w:rsid w:val="00862A39"/>
    <w:rsid w:val="00887125"/>
    <w:rsid w:val="008E6120"/>
    <w:rsid w:val="00900E0E"/>
    <w:rsid w:val="00914882"/>
    <w:rsid w:val="009C12C1"/>
    <w:rsid w:val="009D7383"/>
    <w:rsid w:val="009E0461"/>
    <w:rsid w:val="009F3CD2"/>
    <w:rsid w:val="009F7F3F"/>
    <w:rsid w:val="00A179BC"/>
    <w:rsid w:val="00A17CAD"/>
    <w:rsid w:val="00A8625D"/>
    <w:rsid w:val="00A9136C"/>
    <w:rsid w:val="00AA2532"/>
    <w:rsid w:val="00AA5428"/>
    <w:rsid w:val="00AB5F30"/>
    <w:rsid w:val="00AB67FA"/>
    <w:rsid w:val="00AE2EDB"/>
    <w:rsid w:val="00B455A7"/>
    <w:rsid w:val="00BA7AA1"/>
    <w:rsid w:val="00BF09E2"/>
    <w:rsid w:val="00C017B9"/>
    <w:rsid w:val="00C20CD5"/>
    <w:rsid w:val="00C70DAE"/>
    <w:rsid w:val="00C94898"/>
    <w:rsid w:val="00CA122C"/>
    <w:rsid w:val="00CA47E6"/>
    <w:rsid w:val="00CD0EC7"/>
    <w:rsid w:val="00CF059F"/>
    <w:rsid w:val="00CF650A"/>
    <w:rsid w:val="00D0601D"/>
    <w:rsid w:val="00D07A42"/>
    <w:rsid w:val="00DC233B"/>
    <w:rsid w:val="00DC70D1"/>
    <w:rsid w:val="00E041D6"/>
    <w:rsid w:val="00E31BF4"/>
    <w:rsid w:val="00E35DB0"/>
    <w:rsid w:val="00E40BFE"/>
    <w:rsid w:val="00E73891"/>
    <w:rsid w:val="00EA6DEE"/>
    <w:rsid w:val="00ED2EC4"/>
    <w:rsid w:val="00EE3C9A"/>
    <w:rsid w:val="00EF4C60"/>
    <w:rsid w:val="00F064C4"/>
    <w:rsid w:val="00F23678"/>
    <w:rsid w:val="00F306B6"/>
    <w:rsid w:val="00FC0D51"/>
    <w:rsid w:val="00FC314D"/>
    <w:rsid w:val="1808EEE0"/>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5E31AED0"/>
  <w15:chartTrackingRefBased/>
  <w15:docId w15:val="{DB67F410-F1E4-D54F-8612-4885A9EC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356F2"/>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56F2"/>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5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56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5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5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5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5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56F2"/>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356F2"/>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356F2"/>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356F2"/>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356F2"/>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356F2"/>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356F2"/>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356F2"/>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356F2"/>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356F2"/>
    <w:rPr>
      <w:rFonts w:eastAsiaTheme="majorEastAsia" w:cstheme="majorBidi"/>
      <w:color w:val="272727" w:themeColor="text1" w:themeTint="D8"/>
    </w:rPr>
  </w:style>
  <w:style w:type="paragraph" w:styleId="Title">
    <w:name w:val="Title"/>
    <w:basedOn w:val="Normal"/>
    <w:next w:val="Normal"/>
    <w:link w:val="TitleChar"/>
    <w:uiPriority w:val="10"/>
    <w:qFormat/>
    <w:rsid w:val="008356F2"/>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356F2"/>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356F2"/>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35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56F2"/>
    <w:pPr>
      <w:spacing w:before="160"/>
      <w:jc w:val="center"/>
    </w:pPr>
    <w:rPr>
      <w:i/>
      <w:iCs/>
      <w:color w:val="404040" w:themeColor="text1" w:themeTint="BF"/>
    </w:rPr>
  </w:style>
  <w:style w:type="character" w:styleId="QuoteChar" w:customStyle="1">
    <w:name w:val="Quote Char"/>
    <w:basedOn w:val="DefaultParagraphFont"/>
    <w:link w:val="Quote"/>
    <w:uiPriority w:val="29"/>
    <w:rsid w:val="008356F2"/>
    <w:rPr>
      <w:i/>
      <w:iCs/>
      <w:color w:val="404040" w:themeColor="text1" w:themeTint="BF"/>
    </w:rPr>
  </w:style>
  <w:style w:type="paragraph" w:styleId="ListParagraph">
    <w:name w:val="List Paragraph"/>
    <w:basedOn w:val="Normal"/>
    <w:uiPriority w:val="34"/>
    <w:qFormat/>
    <w:rsid w:val="008356F2"/>
    <w:pPr>
      <w:ind w:left="720"/>
      <w:contextualSpacing/>
    </w:pPr>
  </w:style>
  <w:style w:type="character" w:styleId="IntenseEmphasis">
    <w:name w:val="Intense Emphasis"/>
    <w:basedOn w:val="DefaultParagraphFont"/>
    <w:uiPriority w:val="21"/>
    <w:qFormat/>
    <w:rsid w:val="008356F2"/>
    <w:rPr>
      <w:i/>
      <w:iCs/>
      <w:color w:val="0F4761" w:themeColor="accent1" w:themeShade="BF"/>
    </w:rPr>
  </w:style>
  <w:style w:type="paragraph" w:styleId="IntenseQuote">
    <w:name w:val="Intense Quote"/>
    <w:basedOn w:val="Normal"/>
    <w:next w:val="Normal"/>
    <w:link w:val="IntenseQuoteChar"/>
    <w:uiPriority w:val="30"/>
    <w:qFormat/>
    <w:rsid w:val="008356F2"/>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356F2"/>
    <w:rPr>
      <w:i/>
      <w:iCs/>
      <w:color w:val="0F4761" w:themeColor="accent1" w:themeShade="BF"/>
    </w:rPr>
  </w:style>
  <w:style w:type="character" w:styleId="IntenseReference">
    <w:name w:val="Intense Reference"/>
    <w:basedOn w:val="DefaultParagraphFont"/>
    <w:uiPriority w:val="32"/>
    <w:qFormat/>
    <w:rsid w:val="008356F2"/>
    <w:rPr>
      <w:b/>
      <w:bCs/>
      <w:smallCaps/>
      <w:color w:val="0F4761" w:themeColor="accent1" w:themeShade="BF"/>
      <w:spacing w:val="5"/>
    </w:rPr>
  </w:style>
  <w:style w:type="paragraph" w:styleId="NormalWeb">
    <w:name w:val="Normal (Web)"/>
    <w:basedOn w:val="Normal"/>
    <w:uiPriority w:val="99"/>
    <w:semiHidden/>
    <w:unhideWhenUsed/>
    <w:rsid w:val="008356F2"/>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8356F2"/>
    <w:rPr>
      <w:b/>
      <w:bCs/>
    </w:rPr>
  </w:style>
  <w:style w:type="character" w:styleId="apple-converted-space" w:customStyle="1">
    <w:name w:val="apple-converted-space"/>
    <w:basedOn w:val="DefaultParagraphFont"/>
    <w:rsid w:val="00C20CD5"/>
  </w:style>
  <w:style w:type="table" w:styleId="TableGridLight">
    <w:name w:val="Grid Table Light"/>
    <w:basedOn w:val="TableNormal"/>
    <w:uiPriority w:val="40"/>
    <w:rsid w:val="007473D7"/>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leGrid">
    <w:name w:val="Table Grid"/>
    <w:basedOn w:val="TableNormal"/>
    <w:uiPriority w:val="39"/>
    <w:rsid w:val="00BF09E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6F2179"/>
    <w:pPr>
      <w:tabs>
        <w:tab w:val="center" w:pos="4513"/>
        <w:tab w:val="right" w:pos="9026"/>
      </w:tabs>
      <w:spacing w:after="0" w:line="240" w:lineRule="auto"/>
    </w:pPr>
  </w:style>
  <w:style w:type="character" w:styleId="HeaderChar" w:customStyle="1">
    <w:name w:val="Header Char"/>
    <w:basedOn w:val="DefaultParagraphFont"/>
    <w:link w:val="Header"/>
    <w:uiPriority w:val="99"/>
    <w:rsid w:val="006F2179"/>
  </w:style>
  <w:style w:type="paragraph" w:styleId="Footer">
    <w:name w:val="footer"/>
    <w:basedOn w:val="Normal"/>
    <w:link w:val="FooterChar"/>
    <w:uiPriority w:val="99"/>
    <w:unhideWhenUsed/>
    <w:rsid w:val="006F2179"/>
    <w:pPr>
      <w:tabs>
        <w:tab w:val="center" w:pos="4513"/>
        <w:tab w:val="right" w:pos="9026"/>
      </w:tabs>
      <w:spacing w:after="0" w:line="240" w:lineRule="auto"/>
    </w:pPr>
  </w:style>
  <w:style w:type="character" w:styleId="FooterChar" w:customStyle="1">
    <w:name w:val="Footer Char"/>
    <w:basedOn w:val="DefaultParagraphFont"/>
    <w:link w:val="Footer"/>
    <w:uiPriority w:val="99"/>
    <w:rsid w:val="006F2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7152">
      <w:marLeft w:val="0"/>
      <w:marRight w:val="0"/>
      <w:marTop w:val="0"/>
      <w:marBottom w:val="0"/>
      <w:divBdr>
        <w:top w:val="none" w:sz="0" w:space="0" w:color="auto"/>
        <w:left w:val="none" w:sz="0" w:space="0" w:color="auto"/>
        <w:bottom w:val="none" w:sz="0" w:space="0" w:color="auto"/>
        <w:right w:val="none" w:sz="0" w:space="0" w:color="auto"/>
      </w:divBdr>
    </w:div>
    <w:div w:id="89006227">
      <w:marLeft w:val="0"/>
      <w:marRight w:val="0"/>
      <w:marTop w:val="0"/>
      <w:marBottom w:val="0"/>
      <w:divBdr>
        <w:top w:val="none" w:sz="0" w:space="0" w:color="auto"/>
        <w:left w:val="none" w:sz="0" w:space="0" w:color="auto"/>
        <w:bottom w:val="none" w:sz="0" w:space="0" w:color="auto"/>
        <w:right w:val="none" w:sz="0" w:space="0" w:color="auto"/>
      </w:divBdr>
    </w:div>
    <w:div w:id="405610544">
      <w:marLeft w:val="0"/>
      <w:marRight w:val="0"/>
      <w:marTop w:val="0"/>
      <w:marBottom w:val="0"/>
      <w:divBdr>
        <w:top w:val="none" w:sz="0" w:space="0" w:color="auto"/>
        <w:left w:val="none" w:sz="0" w:space="0" w:color="auto"/>
        <w:bottom w:val="none" w:sz="0" w:space="0" w:color="auto"/>
        <w:right w:val="none" w:sz="0" w:space="0" w:color="auto"/>
      </w:divBdr>
    </w:div>
    <w:div w:id="1512794121">
      <w:marLeft w:val="0"/>
      <w:marRight w:val="0"/>
      <w:marTop w:val="0"/>
      <w:marBottom w:val="0"/>
      <w:divBdr>
        <w:top w:val="none" w:sz="0" w:space="0" w:color="auto"/>
        <w:left w:val="none" w:sz="0" w:space="0" w:color="auto"/>
        <w:bottom w:val="none" w:sz="0" w:space="0" w:color="auto"/>
        <w:right w:val="none" w:sz="0" w:space="0" w:color="auto"/>
      </w:divBdr>
    </w:div>
    <w:div w:id="21212173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footer" Target="footer.xml" Id="R72a9751e04d84cb7"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Eddy Thiongo</dc:creator>
  <keywords/>
  <dc:description/>
  <lastModifiedBy>Guest User</lastModifiedBy>
  <revision>14</revision>
  <dcterms:created xsi:type="dcterms:W3CDTF">2024-11-07T20:09:00.0000000Z</dcterms:created>
  <dcterms:modified xsi:type="dcterms:W3CDTF">2025-03-04T08:07:37.0867830Z</dcterms:modified>
</coreProperties>
</file>